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FORMULÁRIO DE COTAÇÃO DE PREÇO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0.0" w:type="dxa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val="0400"/>
      </w:tblPr>
      <w:tblGrid>
        <w:gridCol w:w="3705"/>
        <w:gridCol w:w="6000"/>
        <w:tblGridChange w:id="0">
          <w:tblGrid>
            <w:gridCol w:w="3705"/>
            <w:gridCol w:w="6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UNFPA/BRA/RFQ/2021/012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2f2f2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Taxas de entrega com base nos seguintes Incoterm de 2010: </w:t>
            </w:r>
          </w:p>
        </w:tc>
        <w:tc>
          <w:tcPr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2f2f2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(cotação será válida por um período de pelo menos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 dias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após o prazo de apresentação)</w:t>
            </w:r>
          </w:p>
        </w:tc>
        <w:tc>
          <w:tcPr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Title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8.2047244094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5.1344088981886"/>
        <w:gridCol w:w="3203.070315511261"/>
        <w:gridCol w:w="660"/>
        <w:gridCol w:w="885"/>
        <w:gridCol w:w="1110"/>
        <w:gridCol w:w="1455"/>
        <w:gridCol w:w="1740"/>
        <w:tblGridChange w:id="0">
          <w:tblGrid>
            <w:gridCol w:w="695.1344088981886"/>
            <w:gridCol w:w="3203.070315511261"/>
            <w:gridCol w:w="660"/>
            <w:gridCol w:w="885"/>
            <w:gridCol w:w="1110"/>
            <w:gridCol w:w="1455"/>
            <w:gridCol w:w="1740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Tabela para cotação de preço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Prazo máximo de entrega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22 dias após a assinatura do contrato - Manaus/AM, Boa Vista/RR e Pacaraima/RR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Item/descrição técnica 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Qtd de Itens por Kit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Preço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Unitário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Produto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(R$)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Preço Total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 kit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(Preço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Unit x Qtd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 produtos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 kit) (R$)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Valor Global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(Preço Total no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Kit x 700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Kits) (R$)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Creme dental 70g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Escova dental média com cerdas macias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Pacote de sabonete em barra com 6 unidades - unidade 90g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Shampoo 350 ml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Pente plástico em formato chato sem cabo com dentes largos e espaçados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Desodorante neutro roll-on de 50 a 60ml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Mochila saco, tactel (cor laranja preferencial), 40x37cm, com cordão 5.2. personalizada com 1 logomarca e 1 cor de gravação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Toalha de rosto (tamanho padrão mínimo de 40x65cm com mínima Gramatura 300g/m²)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Pacote de absorventes higiênicos noturnos com 8 unidades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Pacote de absorventes higiênicos com abas com 8 unidades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Taxa de entrega (frete, se necessário): 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82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Valor total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Rule="auto"/>
        <w:ind w:left="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1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60"/>
        <w:tblGridChange w:id="0">
          <w:tblGrid>
            <w:gridCol w:w="96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 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ertifico que a empresa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RFQ </w:t>
      </w:r>
      <w:r w:rsidDel="00000000" w:rsidR="00000000" w:rsidRPr="00000000">
        <w:rPr>
          <w:b w:val="1"/>
          <w:rtl w:val="0"/>
        </w:rPr>
        <w:t xml:space="preserve">UNFPA/BRA/RFQ/2021/012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4927"/>
        <w:gridCol w:w="2464"/>
        <w:gridCol w:w="2464"/>
        <w:tblGridChange w:id="0">
          <w:tblGrid>
            <w:gridCol w:w="4927"/>
            <w:gridCol w:w="2464"/>
            <w:gridCol w:w="2464"/>
          </w:tblGrid>
        </w:tblGridChange>
      </w:tblGrid>
      <w:tr>
        <w:trPr>
          <w:cantSplit w:val="0"/>
          <w:trHeight w:val="959.44580078124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libri Light"/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  <w:highlight w:val="yellow"/>
      </w:rPr>
    </w:pPr>
    <w:r w:rsidDel="00000000" w:rsidR="00000000" w:rsidRPr="00000000">
      <w:rPr>
        <w:sz w:val="14"/>
        <w:szCs w:val="14"/>
        <w:highlight w:val="yellow"/>
        <w:rtl w:val="0"/>
      </w:rPr>
      <w:t xml:space="preserve">DADOS DA EMPRESA</w:t>
    </w:r>
    <w:r w:rsidDel="00000000" w:rsidR="00000000" w:rsidRPr="00000000">
      <w:rPr>
        <w:color w:val="000000"/>
        <w:sz w:val="14"/>
        <w:szCs w:val="14"/>
        <w:highlight w:val="yellow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567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spacing w:after="0" w:line="240" w:lineRule="auto"/>
      <w:rPr>
        <w:rFonts w:ascii="Roboto" w:cs="Roboto" w:eastAsia="Roboto" w:hAnsi="Roboto"/>
        <w:b w:val="1"/>
        <w:sz w:val="16"/>
        <w:szCs w:val="16"/>
        <w:highlight w:val="yellow"/>
      </w:rPr>
    </w:pPr>
    <w:r w:rsidDel="00000000" w:rsidR="00000000" w:rsidRPr="00000000">
      <w:rPr>
        <w:rFonts w:ascii="Arial" w:cs="Arial" w:eastAsia="Arial" w:hAnsi="Arial"/>
        <w:highlight w:val="yellow"/>
        <w:rtl w:val="0"/>
      </w:rPr>
      <w:t xml:space="preserve">LOGO DA EMPRESA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spacing w:after="0" w:line="240" w:lineRule="auto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spacing w:after="0" w:line="240" w:lineRule="auto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cs="Calibri Light" w:eastAsia="Calibri Light" w:hAnsi="Calibri Light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