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4"/>
          <w:szCs w:val="24"/>
          <w:u w:val="single"/>
          <w:rtl w:val="0"/>
        </w:rPr>
        <w:t xml:space="preserve">A</w:t>
      </w:r>
      <w:r w:rsidDel="00000000" w:rsidR="00000000" w:rsidRPr="00000000">
        <w:rPr>
          <w:b w:val="1"/>
          <w:sz w:val="24"/>
          <w:szCs w:val="24"/>
          <w:u w:val="single"/>
          <w:rtl w:val="0"/>
        </w:rPr>
        <w:t xml:space="preserve">NEXO I</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center"/>
        <w:rPr>
          <w:rFonts w:ascii="inherit" w:cs="inherit" w:eastAsia="inherit" w:hAnsi="inherit"/>
          <w:b w:val="1"/>
          <w:i w:val="0"/>
          <w:smallCaps w:val="0"/>
          <w:strike w:val="0"/>
          <w:color w:val="212121"/>
          <w:sz w:val="20"/>
          <w:szCs w:val="20"/>
          <w:u w:val="none"/>
          <w:shd w:fill="auto" w:val="clear"/>
          <w:vertAlign w:val="baseline"/>
        </w:rPr>
      </w:pPr>
      <w:r w:rsidDel="00000000" w:rsidR="00000000" w:rsidRPr="00000000">
        <w:rPr>
          <w:rFonts w:ascii="inherit" w:cs="inherit" w:eastAsia="inherit" w:hAnsi="inherit"/>
          <w:b w:val="1"/>
          <w:i w:val="0"/>
          <w:smallCaps w:val="0"/>
          <w:strike w:val="0"/>
          <w:color w:val="212121"/>
          <w:sz w:val="20"/>
          <w:szCs w:val="20"/>
          <w:u w:val="none"/>
          <w:shd w:fill="auto" w:val="clear"/>
          <w:vertAlign w:val="baseline"/>
          <w:rtl w:val="0"/>
        </w:rPr>
        <w:t xml:space="preserve">FORMULÁRIO DE COTAÇÃO DE PREÇO</w:t>
      </w:r>
    </w:p>
    <w:p w:rsidR="00000000" w:rsidDel="00000000" w:rsidP="00000000" w:rsidRDefault="00000000" w:rsidRPr="00000000" w14:paraId="00000003">
      <w:pPr>
        <w:rPr/>
      </w:pPr>
      <w:r w:rsidDel="00000000" w:rsidR="00000000" w:rsidRPr="00000000">
        <w:rPr>
          <w:rtl w:val="0"/>
        </w:rPr>
      </w:r>
    </w:p>
    <w:tbl>
      <w:tblPr>
        <w:tblStyle w:val="Table1"/>
        <w:tblW w:w="9705.0" w:type="dxa"/>
        <w:jc w:val="left"/>
        <w:tblInd w:w="-115.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705"/>
        <w:gridCol w:w="6000"/>
        <w:tblGridChange w:id="0">
          <w:tblGrid>
            <w:gridCol w:w="3705"/>
            <w:gridCol w:w="6000"/>
          </w:tblGrid>
        </w:tblGridChange>
      </w:tblGrid>
      <w:tr>
        <w:trPr>
          <w:cantSplit w:val="0"/>
          <w:tblHeader w:val="0"/>
        </w:trPr>
        <w:tc>
          <w:tcPr/>
          <w:p w:rsidR="00000000" w:rsidDel="00000000" w:rsidP="00000000" w:rsidRDefault="00000000" w:rsidRPr="00000000" w14:paraId="00000004">
            <w:pPr>
              <w:rPr/>
            </w:pPr>
            <w:r w:rsidDel="00000000" w:rsidR="00000000" w:rsidRPr="00000000">
              <w:rPr>
                <w:rtl w:val="0"/>
              </w:rPr>
              <w:t xml:space="preserve">Nome da Licitante:</w:t>
            </w:r>
          </w:p>
        </w:tc>
        <w:tc>
          <w:tcPr>
            <w:vAlign w:val="center"/>
          </w:tcPr>
          <w:p w:rsidR="00000000" w:rsidDel="00000000" w:rsidP="00000000" w:rsidRDefault="00000000" w:rsidRPr="00000000" w14:paraId="00000005">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6">
            <w:pPr>
              <w:rPr/>
            </w:pPr>
            <w:r w:rsidDel="00000000" w:rsidR="00000000" w:rsidRPr="00000000">
              <w:rPr>
                <w:rtl w:val="0"/>
              </w:rPr>
              <w:t xml:space="preserve">Data da Cotação:</w:t>
            </w:r>
          </w:p>
        </w:tc>
        <w:tc>
          <w:tcPr>
            <w:vAlign w:val="center"/>
          </w:tcPr>
          <w:p w:rsidR="00000000" w:rsidDel="00000000" w:rsidP="00000000" w:rsidRDefault="00000000" w:rsidRPr="00000000" w14:paraId="00000007">
            <w:pPr>
              <w:jc w:val="center"/>
              <w:rPr/>
            </w:pPr>
            <w:r w:rsidDel="00000000" w:rsidR="00000000" w:rsidRPr="00000000">
              <w:rPr>
                <w:rFonts w:ascii="Calibri" w:cs="Calibri" w:eastAsia="Calibri" w:hAnsi="Calibri"/>
                <w:color w:val="808080"/>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08">
            <w:pPr>
              <w:rPr/>
            </w:pPr>
            <w:r w:rsidDel="00000000" w:rsidR="00000000" w:rsidRPr="00000000">
              <w:rPr>
                <w:rtl w:val="0"/>
              </w:rPr>
              <w:t xml:space="preserve">Solicitação de Cotação- RFQ Nº:</w:t>
            </w:r>
          </w:p>
        </w:tc>
        <w:tc>
          <w:tcPr>
            <w:vAlign w:val="center"/>
          </w:tcPr>
          <w:p w:rsidR="00000000" w:rsidDel="00000000" w:rsidP="00000000" w:rsidRDefault="00000000" w:rsidRPr="00000000" w14:paraId="00000009">
            <w:pPr>
              <w:jc w:val="center"/>
              <w:rPr/>
            </w:pPr>
            <w:r w:rsidDel="00000000" w:rsidR="00000000" w:rsidRPr="00000000">
              <w:rPr>
                <w:rtl w:val="0"/>
              </w:rPr>
              <w:t xml:space="preserve">UNFPA/BRA/RFQ/2024/001</w:t>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Moeda da Cotação:</w:t>
            </w:r>
          </w:p>
        </w:tc>
        <w:tc>
          <w:tcPr>
            <w:vAlign w:val="center"/>
          </w:tcPr>
          <w:p w:rsidR="00000000" w:rsidDel="00000000" w:rsidP="00000000" w:rsidRDefault="00000000" w:rsidRPr="00000000" w14:paraId="0000000B">
            <w:pPr>
              <w:jc w:val="center"/>
              <w:rPr/>
            </w:pPr>
            <w:r w:rsidDel="00000000" w:rsidR="00000000" w:rsidRPr="00000000">
              <w:rPr>
                <w:rtl w:val="0"/>
              </w:rPr>
              <w:t xml:space="preserve">BRL</w:t>
            </w:r>
          </w:p>
        </w:tc>
      </w:tr>
      <w:tr>
        <w:trPr>
          <w:cantSplit w:val="0"/>
          <w:tblHeader w:val="0"/>
        </w:trPr>
        <w:tc>
          <w:tcPr>
            <w:tcBorders>
              <w:bottom w:color="f2f2f2" w:space="0" w:sz="4" w:val="single"/>
            </w:tcBorders>
          </w:tcPr>
          <w:p w:rsidR="00000000" w:rsidDel="00000000" w:rsidP="00000000" w:rsidRDefault="00000000" w:rsidRPr="00000000" w14:paraId="0000000C">
            <w:pPr>
              <w:rPr/>
            </w:pPr>
            <w:r w:rsidDel="00000000" w:rsidR="00000000" w:rsidRPr="00000000">
              <w:rPr>
                <w:rtl w:val="0"/>
              </w:rPr>
              <w:t xml:space="preserve">Validade da cotação: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(cotação </w:t>
            </w:r>
            <w:r w:rsidDel="00000000" w:rsidR="00000000" w:rsidRPr="00000000">
              <w:rPr>
                <w:sz w:val="16"/>
                <w:szCs w:val="16"/>
                <w:rtl w:val="0"/>
              </w:rPr>
              <w:t xml:space="preserve">deverá ser</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válida por um período de pelo menos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90 dias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após o prazo de apresentação, caso não seja possível</w:t>
            </w:r>
            <w:r w:rsidDel="00000000" w:rsidR="00000000" w:rsidRPr="00000000">
              <w:rPr>
                <w:sz w:val="16"/>
                <w:szCs w:val="16"/>
                <w:rtl w:val="0"/>
              </w:rPr>
              <w:t xml:space="preserve">, especificar o motivo no campo de observações ao final do formulário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p>
        </w:tc>
        <w:tc>
          <w:tcPr>
            <w:tcBorders>
              <w:bottom w:color="f2f2f2" w:space="0" w:sz="4" w:val="single"/>
            </w:tcBorders>
            <w:vAlign w:val="center"/>
          </w:tcPr>
          <w:p w:rsidR="00000000" w:rsidDel="00000000" w:rsidP="00000000" w:rsidRDefault="00000000" w:rsidRPr="00000000" w14:paraId="0000000E">
            <w:pPr>
              <w:jc w:val="center"/>
              <w:rPr/>
            </w:pPr>
            <w:r w:rsidDel="00000000" w:rsidR="00000000" w:rsidRPr="00000000">
              <w:rPr>
                <w:rtl w:val="0"/>
              </w:rPr>
            </w:r>
          </w:p>
        </w:tc>
      </w:tr>
    </w:tbl>
    <w:p w:rsidR="00000000" w:rsidDel="00000000" w:rsidP="00000000" w:rsidRDefault="00000000" w:rsidRPr="00000000" w14:paraId="0000000F">
      <w:pPr>
        <w:pStyle w:val="Title"/>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after="0" w:line="240" w:lineRule="auto"/>
        <w:jc w:val="both"/>
        <w:rPr/>
      </w:pPr>
      <w:bookmarkStart w:colFirst="0" w:colLast="0" w:name="_1fob9te" w:id="0"/>
      <w:bookmarkEnd w:id="0"/>
      <w:r w:rsidDel="00000000" w:rsidR="00000000" w:rsidRPr="00000000">
        <w:rPr>
          <w:b w:val="1"/>
          <w:i w:val="1"/>
          <w:color w:val="ff0000"/>
          <w:sz w:val="24"/>
          <w:szCs w:val="24"/>
          <w:u w:val="single"/>
          <w:rtl w:val="0"/>
        </w:rPr>
        <w:t xml:space="preserve">Observação:</w:t>
      </w:r>
      <w:r w:rsidDel="00000000" w:rsidR="00000000" w:rsidRPr="00000000">
        <w:rPr>
          <w:i w:val="1"/>
          <w:color w:val="ff0000"/>
          <w:sz w:val="24"/>
          <w:szCs w:val="24"/>
          <w:rtl w:val="0"/>
        </w:rPr>
        <w:t xml:space="preserve"> Se houver valor de frete, por gentileza, informá-lo na proposta separado dos preços dos produtos. </w:t>
      </w:r>
      <w:r w:rsidDel="00000000" w:rsidR="00000000" w:rsidRPr="00000000">
        <w:rPr>
          <w:b w:val="1"/>
          <w:i w:val="1"/>
          <w:color w:val="ff0000"/>
          <w:sz w:val="24"/>
          <w:szCs w:val="24"/>
          <w:rtl w:val="0"/>
        </w:rPr>
        <w:t xml:space="preserve">IMPORTANTE:</w:t>
      </w:r>
      <w:r w:rsidDel="00000000" w:rsidR="00000000" w:rsidRPr="00000000">
        <w:rPr>
          <w:i w:val="1"/>
          <w:color w:val="ff0000"/>
          <w:sz w:val="24"/>
          <w:szCs w:val="24"/>
          <w:rtl w:val="0"/>
        </w:rPr>
        <w:t xml:space="preserve"> É necessário que a empresa forneça um parecer técnico atestando a segurança do mecanismo e funcionamento dos carrinhos.</w:t>
      </w:r>
      <w:r w:rsidDel="00000000" w:rsidR="00000000" w:rsidRPr="00000000">
        <w:rPr>
          <w:rtl w:val="0"/>
        </w:rPr>
      </w:r>
    </w:p>
    <w:tbl>
      <w:tblPr>
        <w:tblStyle w:val="Table2"/>
        <w:tblW w:w="9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
        <w:gridCol w:w="2760"/>
        <w:gridCol w:w="1020"/>
        <w:gridCol w:w="915"/>
        <w:gridCol w:w="1440"/>
        <w:gridCol w:w="1320"/>
        <w:gridCol w:w="1470"/>
        <w:tblGridChange w:id="0">
          <w:tblGrid>
            <w:gridCol w:w="795"/>
            <w:gridCol w:w="2760"/>
            <w:gridCol w:w="1020"/>
            <w:gridCol w:w="915"/>
            <w:gridCol w:w="1440"/>
            <w:gridCol w:w="1320"/>
            <w:gridCol w:w="1470"/>
          </w:tblGrid>
        </w:tblGridChange>
      </w:tblGrid>
      <w:tr>
        <w:trPr>
          <w:cantSplit w:val="0"/>
          <w:trHeight w:val="595"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jc w:val="center"/>
              <w:rPr>
                <w:b w:val="1"/>
                <w:sz w:val="28"/>
                <w:szCs w:val="28"/>
              </w:rPr>
            </w:pPr>
            <w:r w:rsidDel="00000000" w:rsidR="00000000" w:rsidRPr="00000000">
              <w:rPr>
                <w:b w:val="1"/>
                <w:color w:val="000000"/>
                <w:sz w:val="28"/>
                <w:szCs w:val="28"/>
                <w:rtl w:val="0"/>
              </w:rPr>
              <w:t xml:space="preserve">Tabela para cotação de preço</w:t>
            </w:r>
            <w:r w:rsidDel="00000000" w:rsidR="00000000" w:rsidRPr="00000000">
              <w:rPr>
                <w:b w:val="1"/>
                <w:sz w:val="28"/>
                <w:szCs w:val="28"/>
                <w:rtl w:val="0"/>
              </w:rPr>
              <w:t xml:space="preserve">s</w:t>
            </w:r>
          </w:p>
          <w:p w:rsidR="00000000" w:rsidDel="00000000" w:rsidP="00000000" w:rsidRDefault="00000000" w:rsidRPr="00000000" w14:paraId="00000012">
            <w:pPr>
              <w:jc w:val="center"/>
              <w:rPr>
                <w:sz w:val="14"/>
                <w:szCs w:val="14"/>
              </w:rPr>
            </w:pPr>
            <w:r w:rsidDel="00000000" w:rsidR="00000000" w:rsidRPr="00000000">
              <w:rPr>
                <w:b w:val="1"/>
                <w:color w:val="000000"/>
                <w:sz w:val="20"/>
                <w:szCs w:val="20"/>
                <w:rtl w:val="0"/>
              </w:rPr>
              <w:t xml:space="preserve">Prazo máximo de entrega</w:t>
            </w:r>
            <w:r w:rsidDel="00000000" w:rsidR="00000000" w:rsidRPr="00000000">
              <w:rPr>
                <w:b w:val="1"/>
                <w:sz w:val="20"/>
                <w:szCs w:val="20"/>
                <w:rtl w:val="0"/>
              </w:rPr>
              <w:t xml:space="preserve">: 60 dias após a assinatura do contrato - Local de entrega: RUA O BRASIL PARA CRISTO, 2346 - Boqueirão - Curitiba-PR - CEP: 81.730-070 - REVIR RECICLADOS</w:t>
            </w:r>
            <w:r w:rsidDel="00000000" w:rsidR="00000000" w:rsidRPr="00000000">
              <w:rPr>
                <w:rtl w:val="0"/>
              </w:rPr>
            </w:r>
          </w:p>
        </w:tc>
      </w:tr>
      <w:tr>
        <w:trPr>
          <w:cantSplit w:val="0"/>
          <w:trHeight w:val="595" w:hRule="atLeast"/>
          <w:tblHeader w:val="0"/>
        </w:trPr>
        <w:tc>
          <w:tcPr>
            <w:tcBorders>
              <w:top w:color="000000" w:space="0" w:sz="4" w:val="single"/>
            </w:tcBorders>
            <w:shd w:fill="000080" w:val="clear"/>
            <w:vAlign w:val="center"/>
          </w:tcPr>
          <w:p w:rsidR="00000000" w:rsidDel="00000000" w:rsidP="00000000" w:rsidRDefault="00000000" w:rsidRPr="00000000" w14:paraId="00000019">
            <w:pPr>
              <w:jc w:val="center"/>
              <w:rPr>
                <w:b w:val="1"/>
                <w:color w:val="ffffff"/>
              </w:rPr>
            </w:pPr>
            <w:r w:rsidDel="00000000" w:rsidR="00000000" w:rsidRPr="00000000">
              <w:rPr>
                <w:b w:val="1"/>
                <w:color w:val="ffffff"/>
                <w:rtl w:val="0"/>
              </w:rPr>
              <w:t xml:space="preserve">Item</w:t>
            </w:r>
          </w:p>
        </w:tc>
        <w:tc>
          <w:tcPr>
            <w:gridSpan w:val="2"/>
            <w:tcBorders>
              <w:top w:color="000000" w:space="0" w:sz="4" w:val="single"/>
            </w:tcBorders>
            <w:shd w:fill="000080" w:val="clear"/>
            <w:vAlign w:val="center"/>
          </w:tcPr>
          <w:p w:rsidR="00000000" w:rsidDel="00000000" w:rsidP="00000000" w:rsidRDefault="00000000" w:rsidRPr="00000000" w14:paraId="0000001A">
            <w:pPr>
              <w:jc w:val="center"/>
              <w:rPr>
                <w:b w:val="1"/>
                <w:color w:val="ffffff"/>
              </w:rPr>
            </w:pPr>
            <w:r w:rsidDel="00000000" w:rsidR="00000000" w:rsidRPr="00000000">
              <w:rPr>
                <w:b w:val="1"/>
                <w:color w:val="ffffff"/>
                <w:rtl w:val="0"/>
              </w:rPr>
              <w:t xml:space="preserve">Item/descrição técnica </w:t>
            </w:r>
          </w:p>
        </w:tc>
        <w:tc>
          <w:tcPr>
            <w:tcBorders>
              <w:top w:color="000000" w:space="0" w:sz="4" w:val="single"/>
            </w:tcBorders>
            <w:shd w:fill="000080" w:val="clear"/>
            <w:vAlign w:val="center"/>
          </w:tcPr>
          <w:p w:rsidR="00000000" w:rsidDel="00000000" w:rsidP="00000000" w:rsidRDefault="00000000" w:rsidRPr="00000000" w14:paraId="0000001C">
            <w:pPr>
              <w:jc w:val="center"/>
              <w:rPr>
                <w:b w:val="1"/>
                <w:color w:val="ffffff"/>
              </w:rPr>
            </w:pPr>
            <w:r w:rsidDel="00000000" w:rsidR="00000000" w:rsidRPr="00000000">
              <w:rPr>
                <w:b w:val="1"/>
                <w:color w:val="ffffff"/>
                <w:rtl w:val="0"/>
              </w:rPr>
              <w:t xml:space="preserve">Qtd de Itens por lote</w:t>
            </w:r>
          </w:p>
        </w:tc>
        <w:tc>
          <w:tcPr>
            <w:tcBorders>
              <w:top w:color="000000" w:space="0" w:sz="4" w:val="single"/>
            </w:tcBorders>
            <w:shd w:fill="000080" w:val="clear"/>
            <w:vAlign w:val="center"/>
          </w:tcPr>
          <w:p w:rsidR="00000000" w:rsidDel="00000000" w:rsidP="00000000" w:rsidRDefault="00000000" w:rsidRPr="00000000" w14:paraId="0000001D">
            <w:pPr>
              <w:jc w:val="center"/>
              <w:rPr>
                <w:b w:val="1"/>
                <w:color w:val="ffffff"/>
              </w:rPr>
            </w:pPr>
            <w:r w:rsidDel="00000000" w:rsidR="00000000" w:rsidRPr="00000000">
              <w:rPr>
                <w:b w:val="1"/>
                <w:color w:val="ffffff"/>
                <w:rtl w:val="0"/>
              </w:rPr>
              <w:t xml:space="preserve">Preço</w:t>
            </w:r>
          </w:p>
          <w:p w:rsidR="00000000" w:rsidDel="00000000" w:rsidP="00000000" w:rsidRDefault="00000000" w:rsidRPr="00000000" w14:paraId="0000001E">
            <w:pPr>
              <w:jc w:val="center"/>
              <w:rPr>
                <w:b w:val="1"/>
                <w:color w:val="ffffff"/>
              </w:rPr>
            </w:pPr>
            <w:r w:rsidDel="00000000" w:rsidR="00000000" w:rsidRPr="00000000">
              <w:rPr>
                <w:b w:val="1"/>
                <w:color w:val="ffffff"/>
                <w:rtl w:val="0"/>
              </w:rPr>
              <w:t xml:space="preserve">Unitário</w:t>
            </w:r>
          </w:p>
          <w:p w:rsidR="00000000" w:rsidDel="00000000" w:rsidP="00000000" w:rsidRDefault="00000000" w:rsidRPr="00000000" w14:paraId="0000001F">
            <w:pPr>
              <w:jc w:val="center"/>
              <w:rPr>
                <w:b w:val="1"/>
                <w:color w:val="ffffff"/>
              </w:rPr>
            </w:pPr>
            <w:r w:rsidDel="00000000" w:rsidR="00000000" w:rsidRPr="00000000">
              <w:rPr>
                <w:b w:val="1"/>
                <w:color w:val="ffffff"/>
                <w:rtl w:val="0"/>
              </w:rPr>
              <w:t xml:space="preserve">Produto</w:t>
            </w:r>
          </w:p>
          <w:p w:rsidR="00000000" w:rsidDel="00000000" w:rsidP="00000000" w:rsidRDefault="00000000" w:rsidRPr="00000000" w14:paraId="00000020">
            <w:pPr>
              <w:jc w:val="center"/>
              <w:rPr>
                <w:b w:val="1"/>
                <w:color w:val="ffffff"/>
              </w:rPr>
            </w:pPr>
            <w:r w:rsidDel="00000000" w:rsidR="00000000" w:rsidRPr="00000000">
              <w:rPr>
                <w:b w:val="1"/>
                <w:color w:val="ffffff"/>
                <w:rtl w:val="0"/>
              </w:rPr>
              <w:t xml:space="preserve">(R$)</w:t>
            </w:r>
          </w:p>
        </w:tc>
        <w:tc>
          <w:tcPr>
            <w:tcBorders>
              <w:top w:color="000000" w:space="0" w:sz="4" w:val="single"/>
            </w:tcBorders>
            <w:shd w:fill="000080" w:val="clear"/>
            <w:vAlign w:val="center"/>
          </w:tcPr>
          <w:p w:rsidR="00000000" w:rsidDel="00000000" w:rsidP="00000000" w:rsidRDefault="00000000" w:rsidRPr="00000000" w14:paraId="00000021">
            <w:pPr>
              <w:jc w:val="center"/>
              <w:rPr>
                <w:b w:val="1"/>
                <w:color w:val="ffffff"/>
              </w:rPr>
            </w:pPr>
            <w:r w:rsidDel="00000000" w:rsidR="00000000" w:rsidRPr="00000000">
              <w:rPr>
                <w:b w:val="1"/>
                <w:color w:val="ffffff"/>
                <w:rtl w:val="0"/>
              </w:rPr>
              <w:t xml:space="preserve">Custo de frete por lote (R$)</w:t>
            </w:r>
          </w:p>
        </w:tc>
        <w:tc>
          <w:tcPr>
            <w:tcBorders>
              <w:top w:color="000000" w:space="0" w:sz="4" w:val="single"/>
            </w:tcBorders>
            <w:shd w:fill="000080" w:val="clear"/>
            <w:vAlign w:val="center"/>
          </w:tcPr>
          <w:p w:rsidR="00000000" w:rsidDel="00000000" w:rsidP="00000000" w:rsidRDefault="00000000" w:rsidRPr="00000000" w14:paraId="00000022">
            <w:pPr>
              <w:jc w:val="center"/>
              <w:rPr>
                <w:b w:val="1"/>
                <w:color w:val="ffffff"/>
              </w:rPr>
            </w:pPr>
            <w:r w:rsidDel="00000000" w:rsidR="00000000" w:rsidRPr="00000000">
              <w:rPr>
                <w:b w:val="1"/>
                <w:color w:val="ffffff"/>
                <w:rtl w:val="0"/>
              </w:rPr>
              <w:t xml:space="preserve">Valor Global</w:t>
            </w:r>
          </w:p>
          <w:p w:rsidR="00000000" w:rsidDel="00000000" w:rsidP="00000000" w:rsidRDefault="00000000" w:rsidRPr="00000000" w14:paraId="00000023">
            <w:pPr>
              <w:jc w:val="center"/>
              <w:rPr>
                <w:b w:val="1"/>
                <w:color w:val="ffffff"/>
                <w:sz w:val="20"/>
                <w:szCs w:val="20"/>
              </w:rPr>
            </w:pPr>
            <w:r w:rsidDel="00000000" w:rsidR="00000000" w:rsidRPr="00000000">
              <w:rPr>
                <w:b w:val="1"/>
                <w:color w:val="ffffff"/>
                <w:sz w:val="20"/>
                <w:szCs w:val="20"/>
                <w:rtl w:val="0"/>
              </w:rPr>
              <w:t xml:space="preserve">(Preço Total do lote) (R$)</w:t>
            </w:r>
          </w:p>
          <w:p w:rsidR="00000000" w:rsidDel="00000000" w:rsidP="00000000" w:rsidRDefault="00000000" w:rsidRPr="00000000" w14:paraId="00000024">
            <w:pPr>
              <w:jc w:val="center"/>
              <w:rPr>
                <w:b w:val="1"/>
                <w:color w:val="ffffff"/>
              </w:rPr>
            </w:pP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025">
            <w:pPr>
              <w:spacing w:after="60" w:before="60" w:lineRule="auto"/>
              <w:jc w:val="center"/>
              <w:rPr/>
            </w:pPr>
            <w:r w:rsidDel="00000000" w:rsidR="00000000" w:rsidRPr="00000000">
              <w:rPr>
                <w:rtl w:val="0"/>
              </w:rPr>
              <w:t xml:space="preserve">Lote 1</w:t>
            </w:r>
          </w:p>
        </w:tc>
        <w:tc>
          <w:tcPr>
            <w:gridSpan w:val="2"/>
            <w:vMerge w:val="restart"/>
            <w:vAlign w:val="center"/>
          </w:tcPr>
          <w:p w:rsidR="00000000" w:rsidDel="00000000" w:rsidP="00000000" w:rsidRDefault="00000000" w:rsidRPr="00000000" w14:paraId="00000026">
            <w:pPr>
              <w:rPr>
                <w:color w:val="222222"/>
              </w:rPr>
            </w:pPr>
            <w:r w:rsidDel="00000000" w:rsidR="00000000" w:rsidRPr="00000000">
              <w:rPr>
                <w:color w:val="222222"/>
                <w:rtl w:val="0"/>
              </w:rPr>
              <w:t xml:space="preserve">Veículo de tração humana para coleta de materiais recicláveis</w:t>
            </w:r>
          </w:p>
          <w:p w:rsidR="00000000" w:rsidDel="00000000" w:rsidP="00000000" w:rsidRDefault="00000000" w:rsidRPr="00000000" w14:paraId="00000027">
            <w:pPr>
              <w:rPr>
                <w:color w:val="222222"/>
                <w:sz w:val="18"/>
                <w:szCs w:val="18"/>
              </w:rPr>
            </w:pPr>
            <w:r w:rsidDel="00000000" w:rsidR="00000000" w:rsidRPr="00000000">
              <w:rPr>
                <w:rtl w:val="0"/>
              </w:rPr>
            </w:r>
          </w:p>
          <w:p w:rsidR="00000000" w:rsidDel="00000000" w:rsidP="00000000" w:rsidRDefault="00000000" w:rsidRPr="00000000" w14:paraId="00000028">
            <w:pPr>
              <w:rPr>
                <w:b w:val="1"/>
                <w:color w:val="222222"/>
                <w:sz w:val="18"/>
                <w:szCs w:val="18"/>
              </w:rPr>
            </w:pPr>
            <w:r w:rsidDel="00000000" w:rsidR="00000000" w:rsidRPr="00000000">
              <w:rPr>
                <w:b w:val="1"/>
                <w:color w:val="222222"/>
                <w:sz w:val="18"/>
                <w:szCs w:val="18"/>
                <w:rtl w:val="0"/>
              </w:rPr>
              <w:t xml:space="preserve">Descrição técnica:</w:t>
            </w:r>
          </w:p>
          <w:p w:rsidR="00000000" w:rsidDel="00000000" w:rsidP="00000000" w:rsidRDefault="00000000" w:rsidRPr="00000000" w14:paraId="00000029">
            <w:pPr>
              <w:rPr>
                <w:color w:val="222222"/>
                <w:sz w:val="18"/>
                <w:szCs w:val="18"/>
              </w:rPr>
            </w:pPr>
            <w:r w:rsidDel="00000000" w:rsidR="00000000" w:rsidRPr="00000000">
              <w:rPr>
                <w:color w:val="222222"/>
                <w:sz w:val="18"/>
                <w:szCs w:val="18"/>
                <w:rtl w:val="0"/>
              </w:rPr>
              <w:t xml:space="preserve">Peso máximo: 150 kg, locomoção à tração humana, Sistema de regulagem de altura da direção, Duas rodas, Largura de 1000mm, comprimento de 2.000 mm, altura de no máximo 1100 mm, Não oferecer perigo ao usuário através de objetos cortantes ou pontiagudos,</w:t>
            </w:r>
          </w:p>
          <w:p w:rsidR="00000000" w:rsidDel="00000000" w:rsidP="00000000" w:rsidRDefault="00000000" w:rsidRPr="00000000" w14:paraId="0000002A">
            <w:pPr>
              <w:rPr>
                <w:color w:val="222222"/>
                <w:sz w:val="18"/>
                <w:szCs w:val="18"/>
              </w:rPr>
            </w:pPr>
            <w:r w:rsidDel="00000000" w:rsidR="00000000" w:rsidRPr="00000000">
              <w:rPr>
                <w:color w:val="222222"/>
                <w:sz w:val="18"/>
                <w:szCs w:val="18"/>
                <w:rtl w:val="0"/>
              </w:rPr>
              <w:t xml:space="preserve">Com porta contendo trinco e dobradiça</w:t>
            </w:r>
          </w:p>
          <w:p w:rsidR="00000000" w:rsidDel="00000000" w:rsidP="00000000" w:rsidRDefault="00000000" w:rsidRPr="00000000" w14:paraId="0000002B">
            <w:pPr>
              <w:rPr>
                <w:color w:val="222222"/>
                <w:sz w:val="18"/>
                <w:szCs w:val="18"/>
              </w:rPr>
            </w:pPr>
            <w:r w:rsidDel="00000000" w:rsidR="00000000" w:rsidRPr="00000000">
              <w:rPr>
                <w:color w:val="222222"/>
                <w:sz w:val="18"/>
                <w:szCs w:val="18"/>
                <w:rtl w:val="0"/>
              </w:rPr>
              <w:t xml:space="preserve">Com suporte para a alocação das mãos</w:t>
            </w:r>
          </w:p>
          <w:p w:rsidR="00000000" w:rsidDel="00000000" w:rsidP="00000000" w:rsidRDefault="00000000" w:rsidRPr="00000000" w14:paraId="0000002C">
            <w:pPr>
              <w:rPr>
                <w:color w:val="222222"/>
                <w:sz w:val="18"/>
                <w:szCs w:val="18"/>
              </w:rPr>
            </w:pPr>
            <w:r w:rsidDel="00000000" w:rsidR="00000000" w:rsidRPr="00000000">
              <w:rPr>
                <w:color w:val="222222"/>
                <w:sz w:val="18"/>
                <w:szCs w:val="18"/>
                <w:rtl w:val="0"/>
              </w:rPr>
              <w:t xml:space="preserve">Com retrovisor</w:t>
            </w:r>
          </w:p>
          <w:p w:rsidR="00000000" w:rsidDel="00000000" w:rsidP="00000000" w:rsidRDefault="00000000" w:rsidRPr="00000000" w14:paraId="0000002D">
            <w:pPr>
              <w:rPr>
                <w:color w:val="222222"/>
                <w:sz w:val="18"/>
                <w:szCs w:val="18"/>
              </w:rPr>
            </w:pPr>
            <w:r w:rsidDel="00000000" w:rsidR="00000000" w:rsidRPr="00000000">
              <w:rPr>
                <w:color w:val="222222"/>
                <w:sz w:val="18"/>
                <w:szCs w:val="18"/>
                <w:rtl w:val="0"/>
              </w:rPr>
              <w:t xml:space="preserve">Com sistema de freios simples</w:t>
            </w:r>
          </w:p>
          <w:p w:rsidR="00000000" w:rsidDel="00000000" w:rsidP="00000000" w:rsidRDefault="00000000" w:rsidRPr="00000000" w14:paraId="0000002E">
            <w:pPr>
              <w:rPr>
                <w:color w:val="222222"/>
                <w:sz w:val="18"/>
                <w:szCs w:val="18"/>
              </w:rPr>
            </w:pPr>
            <w:r w:rsidDel="00000000" w:rsidR="00000000" w:rsidRPr="00000000">
              <w:rPr>
                <w:color w:val="222222"/>
                <w:sz w:val="18"/>
                <w:szCs w:val="18"/>
                <w:rtl w:val="0"/>
              </w:rPr>
              <w:t xml:space="preserve">Com conjunto de sinalização</w:t>
            </w:r>
          </w:p>
          <w:p w:rsidR="00000000" w:rsidDel="00000000" w:rsidP="00000000" w:rsidRDefault="00000000" w:rsidRPr="00000000" w14:paraId="0000002F">
            <w:pPr>
              <w:rPr>
                <w:color w:val="222222"/>
                <w:sz w:val="18"/>
                <w:szCs w:val="18"/>
              </w:rPr>
            </w:pPr>
            <w:r w:rsidDel="00000000" w:rsidR="00000000" w:rsidRPr="00000000">
              <w:rPr>
                <w:color w:val="222222"/>
                <w:sz w:val="18"/>
                <w:szCs w:val="18"/>
                <w:rtl w:val="0"/>
              </w:rPr>
              <w:t xml:space="preserve">Com sistema de apoio quando o carro está em repouso</w:t>
            </w:r>
          </w:p>
          <w:p w:rsidR="00000000" w:rsidDel="00000000" w:rsidP="00000000" w:rsidRDefault="00000000" w:rsidRPr="00000000" w14:paraId="00000030">
            <w:pPr>
              <w:rPr>
                <w:color w:val="222222"/>
                <w:sz w:val="18"/>
                <w:szCs w:val="18"/>
              </w:rPr>
            </w:pPr>
            <w:r w:rsidDel="00000000" w:rsidR="00000000" w:rsidRPr="00000000">
              <w:rPr>
                <w:rtl w:val="0"/>
              </w:rPr>
            </w:r>
          </w:p>
          <w:p w:rsidR="00000000" w:rsidDel="00000000" w:rsidP="00000000" w:rsidRDefault="00000000" w:rsidRPr="00000000" w14:paraId="00000031">
            <w:pPr>
              <w:rPr>
                <w:b w:val="1"/>
                <w:color w:val="222222"/>
                <w:sz w:val="18"/>
                <w:szCs w:val="18"/>
              </w:rPr>
            </w:pPr>
            <w:r w:rsidDel="00000000" w:rsidR="00000000" w:rsidRPr="00000000">
              <w:rPr>
                <w:b w:val="1"/>
                <w:color w:val="222222"/>
                <w:sz w:val="18"/>
                <w:szCs w:val="18"/>
                <w:rtl w:val="0"/>
              </w:rPr>
              <w:t xml:space="preserve">Demais especificações estão descritas abaixo:</w:t>
            </w:r>
          </w:p>
          <w:p w:rsidR="00000000" w:rsidDel="00000000" w:rsidP="00000000" w:rsidRDefault="00000000" w:rsidRPr="00000000" w14:paraId="00000032">
            <w:pPr>
              <w:rPr>
                <w:color w:val="222222"/>
                <w:sz w:val="18"/>
                <w:szCs w:val="18"/>
              </w:rPr>
            </w:pPr>
            <w:r w:rsidDel="00000000" w:rsidR="00000000" w:rsidRPr="00000000">
              <w:rPr>
                <w:rtl w:val="0"/>
              </w:rPr>
            </w:r>
          </w:p>
          <w:p w:rsidR="00000000" w:rsidDel="00000000" w:rsidP="00000000" w:rsidRDefault="00000000" w:rsidRPr="00000000" w14:paraId="00000033">
            <w:pPr>
              <w:rPr>
                <w:color w:val="222222"/>
                <w:sz w:val="18"/>
                <w:szCs w:val="18"/>
              </w:rPr>
            </w:pPr>
            <w:r w:rsidDel="00000000" w:rsidR="00000000" w:rsidRPr="00000000">
              <w:rPr>
                <w:color w:val="222222"/>
                <w:sz w:val="18"/>
                <w:szCs w:val="18"/>
                <w:rtl w:val="0"/>
              </w:rPr>
              <w:t xml:space="preserve">*Sistema de Sustentação:  É responsável pela sustentação do veículo durante o transporte da carga com os seguintes itens: porta, tela de contenção e estrutura. </w:t>
            </w:r>
          </w:p>
          <w:p w:rsidR="00000000" w:rsidDel="00000000" w:rsidP="00000000" w:rsidRDefault="00000000" w:rsidRPr="00000000" w14:paraId="00000034">
            <w:pPr>
              <w:rPr>
                <w:color w:val="222222"/>
                <w:sz w:val="18"/>
                <w:szCs w:val="18"/>
              </w:rPr>
            </w:pPr>
            <w:r w:rsidDel="00000000" w:rsidR="00000000" w:rsidRPr="00000000">
              <w:rPr>
                <w:rtl w:val="0"/>
              </w:rPr>
            </w:r>
          </w:p>
          <w:p w:rsidR="00000000" w:rsidDel="00000000" w:rsidP="00000000" w:rsidRDefault="00000000" w:rsidRPr="00000000" w14:paraId="00000035">
            <w:pPr>
              <w:rPr>
                <w:color w:val="222222"/>
                <w:sz w:val="18"/>
                <w:szCs w:val="18"/>
              </w:rPr>
            </w:pPr>
            <w:r w:rsidDel="00000000" w:rsidR="00000000" w:rsidRPr="00000000">
              <w:rPr>
                <w:color w:val="222222"/>
                <w:sz w:val="18"/>
                <w:szCs w:val="18"/>
                <w:rtl w:val="0"/>
              </w:rPr>
              <w:t xml:space="preserve">*Porta: é o meio pelo qual se retira o material coletado. A porta é colocada na parte traseira do veículo, sendo que as dobradiças são localizadas na lateral esquerda da estrutura (opcional). A porta é composta pelos seguintes componentes:· Tela Secundária - composta por uma tela de arame soldado com furos de formato retangular e fixada na estrutura através de solda.</w:t>
            </w:r>
          </w:p>
          <w:p w:rsidR="00000000" w:rsidDel="00000000" w:rsidP="00000000" w:rsidRDefault="00000000" w:rsidRPr="00000000" w14:paraId="00000036">
            <w:pPr>
              <w:rPr>
                <w:color w:val="222222"/>
                <w:sz w:val="18"/>
                <w:szCs w:val="18"/>
              </w:rPr>
            </w:pPr>
            <w:r w:rsidDel="00000000" w:rsidR="00000000" w:rsidRPr="00000000">
              <w:rPr>
                <w:rtl w:val="0"/>
              </w:rPr>
            </w:r>
          </w:p>
          <w:p w:rsidR="00000000" w:rsidDel="00000000" w:rsidP="00000000" w:rsidRDefault="00000000" w:rsidRPr="00000000" w14:paraId="00000037">
            <w:pPr>
              <w:rPr>
                <w:color w:val="222222"/>
                <w:sz w:val="18"/>
                <w:szCs w:val="18"/>
              </w:rPr>
            </w:pPr>
            <w:r w:rsidDel="00000000" w:rsidR="00000000" w:rsidRPr="00000000">
              <w:rPr>
                <w:color w:val="222222"/>
                <w:sz w:val="18"/>
                <w:szCs w:val="18"/>
                <w:rtl w:val="0"/>
              </w:rPr>
              <w:t xml:space="preserve">*Tela de contenção, bem como as divisórias internas são responsáveis por conter a carga, sendo a mesma disposta com fios de arame soldados entre si, formando espaços retangulares na sua estrutura. Reveste exteriormente a estrutura do veículo, sendo nele soldada, possuindo assim boa fixação. Este subsistema é composto de tela lateral, tela dianteira e tela da base. A estrutura tem a função de suportar o peso da carga durante o movimento e repouso do veículo. É formado pelo conjunto de barras de cantoneira de abas iguais de ½”, as quais são unidas por solda, Há também a colocação de duas dessas barras na base do veículo para que tenha maior resistência e consiga suportar a carga.</w:t>
            </w:r>
          </w:p>
          <w:p w:rsidR="00000000" w:rsidDel="00000000" w:rsidP="00000000" w:rsidRDefault="00000000" w:rsidRPr="00000000" w14:paraId="00000038">
            <w:pPr>
              <w:rPr>
                <w:color w:val="222222"/>
                <w:sz w:val="18"/>
                <w:szCs w:val="18"/>
              </w:rPr>
            </w:pPr>
            <w:r w:rsidDel="00000000" w:rsidR="00000000" w:rsidRPr="00000000">
              <w:rPr>
                <w:rtl w:val="0"/>
              </w:rPr>
            </w:r>
          </w:p>
          <w:p w:rsidR="00000000" w:rsidDel="00000000" w:rsidP="00000000" w:rsidRDefault="00000000" w:rsidRPr="00000000" w14:paraId="00000039">
            <w:pPr>
              <w:rPr>
                <w:color w:val="222222"/>
                <w:sz w:val="18"/>
                <w:szCs w:val="18"/>
              </w:rPr>
            </w:pPr>
            <w:r w:rsidDel="00000000" w:rsidR="00000000" w:rsidRPr="00000000">
              <w:rPr>
                <w:color w:val="222222"/>
                <w:sz w:val="18"/>
                <w:szCs w:val="18"/>
                <w:rtl w:val="0"/>
              </w:rPr>
              <w:t xml:space="preserve">*Barra Estrutural - dá formato à porta por meio de conformação.</w:t>
            </w:r>
          </w:p>
          <w:p w:rsidR="00000000" w:rsidDel="00000000" w:rsidP="00000000" w:rsidRDefault="00000000" w:rsidRPr="00000000" w14:paraId="0000003A">
            <w:pPr>
              <w:rPr>
                <w:color w:val="222222"/>
                <w:sz w:val="18"/>
                <w:szCs w:val="18"/>
              </w:rPr>
            </w:pPr>
            <w:r w:rsidDel="00000000" w:rsidR="00000000" w:rsidRPr="00000000">
              <w:rPr>
                <w:rtl w:val="0"/>
              </w:rPr>
            </w:r>
          </w:p>
          <w:p w:rsidR="00000000" w:rsidDel="00000000" w:rsidP="00000000" w:rsidRDefault="00000000" w:rsidRPr="00000000" w14:paraId="0000003B">
            <w:pPr>
              <w:rPr>
                <w:color w:val="222222"/>
                <w:sz w:val="18"/>
                <w:szCs w:val="18"/>
              </w:rPr>
            </w:pPr>
            <w:r w:rsidDel="00000000" w:rsidR="00000000" w:rsidRPr="00000000">
              <w:rPr>
                <w:color w:val="222222"/>
                <w:sz w:val="18"/>
                <w:szCs w:val="18"/>
                <w:rtl w:val="0"/>
              </w:rPr>
              <w:t xml:space="preserve">*Dobradiça - gera movimento de abre e fecha da porta, é soldada junto às estruturas da porta e do carro respectivamente.</w:t>
            </w:r>
          </w:p>
          <w:p w:rsidR="00000000" w:rsidDel="00000000" w:rsidP="00000000" w:rsidRDefault="00000000" w:rsidRPr="00000000" w14:paraId="0000003C">
            <w:pPr>
              <w:rPr>
                <w:color w:val="222222"/>
                <w:sz w:val="18"/>
                <w:szCs w:val="18"/>
              </w:rPr>
            </w:pPr>
            <w:r w:rsidDel="00000000" w:rsidR="00000000" w:rsidRPr="00000000">
              <w:rPr>
                <w:rtl w:val="0"/>
              </w:rPr>
            </w:r>
          </w:p>
          <w:p w:rsidR="00000000" w:rsidDel="00000000" w:rsidP="00000000" w:rsidRDefault="00000000" w:rsidRPr="00000000" w14:paraId="0000003D">
            <w:pPr>
              <w:rPr>
                <w:color w:val="222222"/>
                <w:sz w:val="18"/>
                <w:szCs w:val="18"/>
              </w:rPr>
            </w:pPr>
            <w:r w:rsidDel="00000000" w:rsidR="00000000" w:rsidRPr="00000000">
              <w:rPr>
                <w:color w:val="222222"/>
                <w:sz w:val="18"/>
                <w:szCs w:val="18"/>
                <w:rtl w:val="0"/>
              </w:rPr>
              <w:t xml:space="preserve">*Trinco - permite manter a porta fechada durante o transporte da carga, é soldado junto à estrutura do veículo e da porta.</w:t>
            </w:r>
          </w:p>
          <w:p w:rsidR="00000000" w:rsidDel="00000000" w:rsidP="00000000" w:rsidRDefault="00000000" w:rsidRPr="00000000" w14:paraId="0000003E">
            <w:pPr>
              <w:rPr>
                <w:color w:val="222222"/>
                <w:sz w:val="18"/>
                <w:szCs w:val="18"/>
              </w:rPr>
            </w:pPr>
            <w:r w:rsidDel="00000000" w:rsidR="00000000" w:rsidRPr="00000000">
              <w:rPr>
                <w:rtl w:val="0"/>
              </w:rPr>
            </w:r>
          </w:p>
          <w:p w:rsidR="00000000" w:rsidDel="00000000" w:rsidP="00000000" w:rsidRDefault="00000000" w:rsidRPr="00000000" w14:paraId="0000003F">
            <w:pPr>
              <w:rPr>
                <w:color w:val="222222"/>
                <w:sz w:val="18"/>
                <w:szCs w:val="18"/>
              </w:rPr>
            </w:pPr>
            <w:r w:rsidDel="00000000" w:rsidR="00000000" w:rsidRPr="00000000">
              <w:rPr>
                <w:color w:val="222222"/>
                <w:sz w:val="18"/>
                <w:szCs w:val="18"/>
                <w:rtl w:val="0"/>
              </w:rPr>
              <w:t xml:space="preserve">*Sistema locomotor: É responsável pela movimentação do veículo na trajetória desejada. É composto pelos seguintes subsistemas: roda e suporte para roda.  Uma das opções é a roda de bicicleta de aro 26 polegadas (660,4 mm), com o objetivo de diminuir os impactos durante a locomoção do veículo. O suporte para roda apresenta seção circular permitindo boa sustentação durante o transporte da carga.</w:t>
            </w:r>
          </w:p>
          <w:p w:rsidR="00000000" w:rsidDel="00000000" w:rsidP="00000000" w:rsidRDefault="00000000" w:rsidRPr="00000000" w14:paraId="00000040">
            <w:pPr>
              <w:rPr>
                <w:color w:val="222222"/>
                <w:sz w:val="18"/>
                <w:szCs w:val="18"/>
              </w:rPr>
            </w:pPr>
            <w:r w:rsidDel="00000000" w:rsidR="00000000" w:rsidRPr="00000000">
              <w:rPr>
                <w:rtl w:val="0"/>
              </w:rPr>
            </w:r>
          </w:p>
          <w:p w:rsidR="00000000" w:rsidDel="00000000" w:rsidP="00000000" w:rsidRDefault="00000000" w:rsidRPr="00000000" w14:paraId="00000041">
            <w:pPr>
              <w:rPr>
                <w:color w:val="222222"/>
                <w:sz w:val="18"/>
                <w:szCs w:val="18"/>
              </w:rPr>
            </w:pPr>
            <w:r w:rsidDel="00000000" w:rsidR="00000000" w:rsidRPr="00000000">
              <w:rPr>
                <w:color w:val="222222"/>
                <w:sz w:val="18"/>
                <w:szCs w:val="18"/>
                <w:rtl w:val="0"/>
              </w:rPr>
              <w:t xml:space="preserve">*Sistemas auxiliares: Para diminuir os riscos de acidentes de trânsito, é recomendada a aplicação de adesivos indicadores para sinalização nas laterais e na parte traseira do veículo, já que esse foi um dos principais problemas encontrados pelos usuários durante o trabalho.</w:t>
            </w:r>
          </w:p>
          <w:p w:rsidR="00000000" w:rsidDel="00000000" w:rsidP="00000000" w:rsidRDefault="00000000" w:rsidRPr="00000000" w14:paraId="00000042">
            <w:pPr>
              <w:rPr>
                <w:color w:val="222222"/>
                <w:sz w:val="18"/>
                <w:szCs w:val="18"/>
              </w:rPr>
            </w:pPr>
            <w:r w:rsidDel="00000000" w:rsidR="00000000" w:rsidRPr="00000000">
              <w:rPr>
                <w:rtl w:val="0"/>
              </w:rPr>
            </w:r>
          </w:p>
          <w:p w:rsidR="00000000" w:rsidDel="00000000" w:rsidP="00000000" w:rsidRDefault="00000000" w:rsidRPr="00000000" w14:paraId="00000043">
            <w:pPr>
              <w:rPr>
                <w:color w:val="222222"/>
                <w:sz w:val="18"/>
                <w:szCs w:val="18"/>
              </w:rPr>
            </w:pPr>
            <w:r w:rsidDel="00000000" w:rsidR="00000000" w:rsidRPr="00000000">
              <w:rPr>
                <w:b w:val="1"/>
                <w:color w:val="222222"/>
                <w:sz w:val="18"/>
                <w:szCs w:val="18"/>
                <w:rtl w:val="0"/>
              </w:rPr>
              <w:t xml:space="preserve">IMPORTANTE</w:t>
            </w:r>
            <w:r w:rsidDel="00000000" w:rsidR="00000000" w:rsidRPr="00000000">
              <w:rPr>
                <w:color w:val="222222"/>
                <w:sz w:val="18"/>
                <w:szCs w:val="18"/>
                <w:rtl w:val="0"/>
              </w:rPr>
              <w:t xml:space="preserve">: É necessário que a empresa forneça um parecer técnico atestando a segurança do mecanismo e funcionamento dos carrinhos.</w:t>
            </w:r>
          </w:p>
        </w:tc>
        <w:tc>
          <w:tcPr>
            <w:vAlign w:val="center"/>
          </w:tcPr>
          <w:p w:rsidR="00000000" w:rsidDel="00000000" w:rsidP="00000000" w:rsidRDefault="00000000" w:rsidRPr="00000000" w14:paraId="00000045">
            <w:pPr>
              <w:spacing w:after="60" w:before="60" w:lineRule="auto"/>
              <w:jc w:val="center"/>
              <w:rPr>
                <w:b w:val="1"/>
              </w:rPr>
            </w:pPr>
            <w:r w:rsidDel="00000000" w:rsidR="00000000" w:rsidRPr="00000000">
              <w:rPr>
                <w:b w:val="1"/>
                <w:rtl w:val="0"/>
              </w:rPr>
              <w:t xml:space="preserve">40</w:t>
            </w:r>
            <w:r w:rsidDel="00000000" w:rsidR="00000000" w:rsidRPr="00000000">
              <w:rPr>
                <w:rtl w:val="0"/>
              </w:rPr>
            </w:r>
          </w:p>
        </w:tc>
        <w:tc>
          <w:tcPr>
            <w:vAlign w:val="center"/>
          </w:tcPr>
          <w:p w:rsidR="00000000" w:rsidDel="00000000" w:rsidP="00000000" w:rsidRDefault="00000000" w:rsidRPr="00000000" w14:paraId="00000046">
            <w:pPr>
              <w:spacing w:after="0" w:line="240" w:lineRule="auto"/>
              <w:jc w:val="center"/>
              <w:rPr>
                <w:rFonts w:ascii="Calibri" w:cs="Calibri" w:eastAsia="Calibri" w:hAnsi="Calibri"/>
                <w:smallCaps w:val="1"/>
              </w:rPr>
            </w:pPr>
            <w:r w:rsidDel="00000000" w:rsidR="00000000" w:rsidRPr="00000000">
              <w:rPr>
                <w:rtl w:val="0"/>
              </w:rPr>
            </w:r>
          </w:p>
        </w:tc>
        <w:tc>
          <w:tcPr>
            <w:vAlign w:val="center"/>
          </w:tcPr>
          <w:p w:rsidR="00000000" w:rsidDel="00000000" w:rsidP="00000000" w:rsidRDefault="00000000" w:rsidRPr="00000000" w14:paraId="00000047">
            <w:pPr>
              <w:spacing w:after="0" w:line="240" w:lineRule="auto"/>
              <w:jc w:val="center"/>
              <w:rPr>
                <w:rFonts w:ascii="Calibri" w:cs="Calibri" w:eastAsia="Calibri" w:hAnsi="Calibri"/>
                <w:smallCaps w:val="1"/>
              </w:rPr>
            </w:pPr>
            <w:r w:rsidDel="00000000" w:rsidR="00000000" w:rsidRPr="00000000">
              <w:rPr>
                <w:rtl w:val="0"/>
              </w:rPr>
            </w:r>
          </w:p>
        </w:tc>
        <w:tc>
          <w:tcPr>
            <w:vAlign w:val="center"/>
          </w:tcPr>
          <w:p w:rsidR="00000000" w:rsidDel="00000000" w:rsidP="00000000" w:rsidRDefault="00000000" w:rsidRPr="00000000" w14:paraId="00000048">
            <w:pPr>
              <w:spacing w:after="60" w:before="60" w:lineRule="auto"/>
              <w:rPr/>
            </w:pP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049">
            <w:pPr>
              <w:spacing w:after="60" w:before="60" w:lineRule="auto"/>
              <w:jc w:val="center"/>
              <w:rPr/>
            </w:pPr>
            <w:r w:rsidDel="00000000" w:rsidR="00000000" w:rsidRPr="00000000">
              <w:rPr>
                <w:rtl w:val="0"/>
              </w:rPr>
              <w:t xml:space="preserve">Lote 2</w:t>
            </w:r>
          </w:p>
        </w:tc>
        <w:tc>
          <w:tcPr>
            <w:gridSpan w:val="2"/>
            <w:vMerge w:val="continue"/>
            <w:vAlign w:val="center"/>
          </w:tcPr>
          <w:p w:rsidR="00000000" w:rsidDel="00000000" w:rsidP="00000000" w:rsidRDefault="00000000" w:rsidRPr="00000000" w14:paraId="0000004A">
            <w:pPr>
              <w:spacing w:after="0" w:before="0" w:line="240" w:lineRule="auto"/>
              <w:ind w:left="0" w:firstLine="0"/>
              <w:rPr>
                <w:color w:val="222222"/>
              </w:rPr>
            </w:pPr>
            <w:r w:rsidDel="00000000" w:rsidR="00000000" w:rsidRPr="00000000">
              <w:rPr>
                <w:rtl w:val="0"/>
              </w:rPr>
            </w:r>
          </w:p>
        </w:tc>
        <w:tc>
          <w:tcPr>
            <w:vAlign w:val="center"/>
          </w:tcPr>
          <w:p w:rsidR="00000000" w:rsidDel="00000000" w:rsidP="00000000" w:rsidRDefault="00000000" w:rsidRPr="00000000" w14:paraId="0000004C">
            <w:pPr>
              <w:spacing w:after="60" w:before="60" w:lineRule="auto"/>
              <w:jc w:val="center"/>
              <w:rPr>
                <w:b w:val="1"/>
              </w:rPr>
            </w:pPr>
            <w:r w:rsidDel="00000000" w:rsidR="00000000" w:rsidRPr="00000000">
              <w:rPr>
                <w:b w:val="1"/>
                <w:rtl w:val="0"/>
              </w:rPr>
              <w:t xml:space="preserve">50</w:t>
            </w:r>
          </w:p>
        </w:tc>
        <w:tc>
          <w:tcPr>
            <w:vAlign w:val="center"/>
          </w:tcPr>
          <w:p w:rsidR="00000000" w:rsidDel="00000000" w:rsidP="00000000" w:rsidRDefault="00000000" w:rsidRPr="00000000" w14:paraId="0000004D">
            <w:pPr>
              <w:spacing w:after="0" w:line="240" w:lineRule="auto"/>
              <w:jc w:val="center"/>
              <w:rPr>
                <w:smallCaps w:val="1"/>
              </w:rPr>
            </w:pPr>
            <w:r w:rsidDel="00000000" w:rsidR="00000000" w:rsidRPr="00000000">
              <w:rPr>
                <w:rtl w:val="0"/>
              </w:rPr>
            </w:r>
          </w:p>
        </w:tc>
        <w:tc>
          <w:tcPr>
            <w:vAlign w:val="center"/>
          </w:tcPr>
          <w:p w:rsidR="00000000" w:rsidDel="00000000" w:rsidP="00000000" w:rsidRDefault="00000000" w:rsidRPr="00000000" w14:paraId="0000004E">
            <w:pPr>
              <w:spacing w:after="0" w:line="240" w:lineRule="auto"/>
              <w:jc w:val="center"/>
              <w:rPr>
                <w:smallCaps w:val="1"/>
              </w:rPr>
            </w:pPr>
            <w:r w:rsidDel="00000000" w:rsidR="00000000" w:rsidRPr="00000000">
              <w:rPr>
                <w:rtl w:val="0"/>
              </w:rPr>
            </w:r>
          </w:p>
        </w:tc>
        <w:tc>
          <w:tcPr>
            <w:vAlign w:val="center"/>
          </w:tcPr>
          <w:p w:rsidR="00000000" w:rsidDel="00000000" w:rsidP="00000000" w:rsidRDefault="00000000" w:rsidRPr="00000000" w14:paraId="0000004F">
            <w:pPr>
              <w:spacing w:after="60" w:before="60" w:lineRule="auto"/>
              <w:rPr/>
            </w:pP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050">
            <w:pPr>
              <w:spacing w:after="60" w:before="60" w:lineRule="auto"/>
              <w:jc w:val="center"/>
              <w:rPr/>
            </w:pPr>
            <w:r w:rsidDel="00000000" w:rsidR="00000000" w:rsidRPr="00000000">
              <w:rPr>
                <w:rtl w:val="0"/>
              </w:rPr>
              <w:t xml:space="preserve">Lote 3</w:t>
            </w:r>
          </w:p>
        </w:tc>
        <w:tc>
          <w:tcPr>
            <w:gridSpan w:val="2"/>
            <w:vMerge w:val="continue"/>
            <w:vAlign w:val="center"/>
          </w:tcPr>
          <w:p w:rsidR="00000000" w:rsidDel="00000000" w:rsidP="00000000" w:rsidRDefault="00000000" w:rsidRPr="00000000" w14:paraId="00000051">
            <w:pPr>
              <w:spacing w:after="0" w:before="0" w:line="240" w:lineRule="auto"/>
              <w:ind w:left="0" w:firstLine="0"/>
              <w:rPr>
                <w:color w:val="222222"/>
              </w:rPr>
            </w:pPr>
            <w:r w:rsidDel="00000000" w:rsidR="00000000" w:rsidRPr="00000000">
              <w:rPr>
                <w:rtl w:val="0"/>
              </w:rPr>
            </w:r>
          </w:p>
        </w:tc>
        <w:tc>
          <w:tcPr>
            <w:vAlign w:val="center"/>
          </w:tcPr>
          <w:p w:rsidR="00000000" w:rsidDel="00000000" w:rsidP="00000000" w:rsidRDefault="00000000" w:rsidRPr="00000000" w14:paraId="00000053">
            <w:pPr>
              <w:spacing w:after="60" w:before="60" w:lineRule="auto"/>
              <w:jc w:val="center"/>
              <w:rPr>
                <w:b w:val="1"/>
              </w:rPr>
            </w:pPr>
            <w:r w:rsidDel="00000000" w:rsidR="00000000" w:rsidRPr="00000000">
              <w:rPr>
                <w:b w:val="1"/>
                <w:rtl w:val="0"/>
              </w:rPr>
              <w:t xml:space="preserve">60</w:t>
            </w:r>
          </w:p>
        </w:tc>
        <w:tc>
          <w:tcPr>
            <w:vAlign w:val="center"/>
          </w:tcPr>
          <w:p w:rsidR="00000000" w:rsidDel="00000000" w:rsidP="00000000" w:rsidRDefault="00000000" w:rsidRPr="00000000" w14:paraId="00000054">
            <w:pPr>
              <w:spacing w:after="0" w:line="240" w:lineRule="auto"/>
              <w:jc w:val="center"/>
              <w:rPr>
                <w:rFonts w:ascii="Calibri" w:cs="Calibri" w:eastAsia="Calibri" w:hAnsi="Calibri"/>
                <w:smallCaps w:val="1"/>
              </w:rPr>
            </w:pPr>
            <w:r w:rsidDel="00000000" w:rsidR="00000000" w:rsidRPr="00000000">
              <w:rPr>
                <w:rtl w:val="0"/>
              </w:rPr>
            </w:r>
          </w:p>
        </w:tc>
        <w:tc>
          <w:tcPr>
            <w:vAlign w:val="center"/>
          </w:tcPr>
          <w:p w:rsidR="00000000" w:rsidDel="00000000" w:rsidP="00000000" w:rsidRDefault="00000000" w:rsidRPr="00000000" w14:paraId="00000055">
            <w:pPr>
              <w:spacing w:after="0" w:line="240" w:lineRule="auto"/>
              <w:jc w:val="center"/>
              <w:rPr>
                <w:rFonts w:ascii="Calibri" w:cs="Calibri" w:eastAsia="Calibri" w:hAnsi="Calibri"/>
                <w:smallCaps w:val="1"/>
              </w:rPr>
            </w:pPr>
            <w:r w:rsidDel="00000000" w:rsidR="00000000" w:rsidRPr="00000000">
              <w:rPr>
                <w:rtl w:val="0"/>
              </w:rPr>
            </w:r>
          </w:p>
        </w:tc>
        <w:tc>
          <w:tcPr>
            <w:vAlign w:val="center"/>
          </w:tcPr>
          <w:p w:rsidR="00000000" w:rsidDel="00000000" w:rsidP="00000000" w:rsidRDefault="00000000" w:rsidRPr="00000000" w14:paraId="00000056">
            <w:pPr>
              <w:spacing w:after="60" w:before="60" w:lineRule="auto"/>
              <w:rPr/>
            </w:pPr>
            <w:r w:rsidDel="00000000" w:rsidR="00000000" w:rsidRPr="00000000">
              <w:rPr>
                <w:rtl w:val="0"/>
              </w:rPr>
            </w:r>
          </w:p>
        </w:tc>
      </w:tr>
    </w:tbl>
    <w:p w:rsidR="00000000" w:rsidDel="00000000" w:rsidP="00000000" w:rsidRDefault="00000000" w:rsidRPr="00000000" w14:paraId="00000057">
      <w:pPr>
        <w:spacing w:after="0" w:lineRule="auto"/>
        <w:ind w:left="0" w:right="-30" w:firstLine="0"/>
        <w:jc w:val="both"/>
        <w:rPr>
          <w:b w:val="1"/>
        </w:rPr>
      </w:pPr>
      <w:r w:rsidDel="00000000" w:rsidR="00000000" w:rsidRPr="00000000">
        <w:rPr>
          <w:rtl w:val="0"/>
        </w:rPr>
      </w:r>
    </w:p>
    <w:tbl>
      <w:tblPr>
        <w:tblStyle w:val="Table3"/>
        <w:tblW w:w="966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0"/>
        <w:tblGridChange w:id="0">
          <w:tblGrid>
            <w:gridCol w:w="96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b w:val="1"/>
                <w:i w:val="1"/>
                <w:sz w:val="20"/>
                <w:szCs w:val="20"/>
              </w:rPr>
            </w:pPr>
            <w:r w:rsidDel="00000000" w:rsidR="00000000" w:rsidRPr="00000000">
              <w:rPr>
                <w:b w:val="1"/>
                <w:i w:val="1"/>
                <w:sz w:val="20"/>
                <w:szCs w:val="20"/>
                <w:rtl w:val="0"/>
              </w:rPr>
              <w:t xml:space="preserve">Comentários da empresa licitante: </w:t>
            </w:r>
          </w:p>
          <w:p w:rsidR="00000000" w:rsidDel="00000000" w:rsidP="00000000" w:rsidRDefault="00000000" w:rsidRPr="00000000" w14:paraId="00000059">
            <w:pPr>
              <w:widowControl w:val="0"/>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A">
            <w:pPr>
              <w:widowControl w:val="0"/>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5B">
            <w:pPr>
              <w:widowControl w:val="0"/>
              <w:spacing w:after="0" w:line="240" w:lineRule="auto"/>
              <w:rPr>
                <w:b w:val="1"/>
                <w:i w:val="1"/>
                <w:sz w:val="20"/>
                <w:szCs w:val="20"/>
              </w:rPr>
            </w:pPr>
            <w:r w:rsidDel="00000000" w:rsidR="00000000" w:rsidRPr="00000000">
              <w:rPr>
                <w:rtl w:val="0"/>
              </w:rPr>
            </w:r>
          </w:p>
        </w:tc>
      </w:tr>
    </w:tb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ertifico que a empresa</w:t>
      </w:r>
      <w:r w:rsidDel="00000000" w:rsidR="00000000" w:rsidRPr="00000000">
        <w:rPr>
          <w:rtl w:val="0"/>
        </w:rPr>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devidamente representada pelo seu representante legal abaixo assinado, declara que reviu 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RFQ </w:t>
      </w:r>
      <w:r w:rsidDel="00000000" w:rsidR="00000000" w:rsidRPr="00000000">
        <w:rPr>
          <w:b w:val="1"/>
          <w:rtl w:val="0"/>
        </w:rPr>
        <w:t xml:space="preserve">UNFPA/BRA/RFQ/2024/001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incluindo todos os anexos, alterações ao documento do RFQ (se aplicável) e as respostas fornecidas pelo UNFPA em esclarecimentos dos provedores de serviços prospectivos. Além disso, a empresa aceita as Condições Gerais do Contrato para o UNFPA e nós concordaremos em manter a presente cotação de acordo com a validade da mesma</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w:t>
      </w:r>
      <w:r w:rsidDel="00000000" w:rsidR="00000000" w:rsidRPr="00000000">
        <w:rPr>
          <w:rtl w:val="0"/>
        </w:rPr>
      </w:r>
    </w:p>
    <w:tbl>
      <w:tblPr>
        <w:tblStyle w:val="Table4"/>
        <w:tblW w:w="9855.0" w:type="dxa"/>
        <w:jc w:val="left"/>
        <w:tblInd w:w="-11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927"/>
        <w:gridCol w:w="2464"/>
        <w:gridCol w:w="2464"/>
        <w:tblGridChange w:id="0">
          <w:tblGrid>
            <w:gridCol w:w="4927"/>
            <w:gridCol w:w="2464"/>
            <w:gridCol w:w="2464"/>
          </w:tblGrid>
        </w:tblGridChange>
      </w:tblGrid>
      <w:tr>
        <w:trPr>
          <w:cantSplit w:val="0"/>
          <w:trHeight w:val="959.4458007812499" w:hRule="atLeast"/>
          <w:tblHeader w:val="0"/>
        </w:trPr>
        <w:tc>
          <w:tcPr>
            <w:shd w:fill="auto" w:val="clear"/>
            <w:vAlign w:val="center"/>
          </w:tcPr>
          <w:p w:rsidR="00000000" w:rsidDel="00000000" w:rsidP="00000000" w:rsidRDefault="00000000" w:rsidRPr="00000000" w14:paraId="0000005E">
            <w:pPr>
              <w:tabs>
                <w:tab w:val="left" w:leader="none" w:pos="-180"/>
                <w:tab w:val="right" w:leader="none" w:pos="1980"/>
                <w:tab w:val="left" w:leader="none" w:pos="2160"/>
                <w:tab w:val="left" w:leader="none" w:pos="4320"/>
              </w:tabs>
              <w:rPr/>
            </w:pPr>
            <w:r w:rsidDel="00000000" w:rsidR="00000000" w:rsidRPr="00000000">
              <w:rPr>
                <w:rtl w:val="0"/>
              </w:rPr>
            </w:r>
          </w:p>
        </w:tc>
        <w:tc>
          <w:tcPr>
            <w:vAlign w:val="center"/>
          </w:tcPr>
          <w:p w:rsidR="00000000" w:rsidDel="00000000" w:rsidP="00000000" w:rsidRDefault="00000000" w:rsidRPr="00000000" w14:paraId="0000005F">
            <w:pPr>
              <w:tabs>
                <w:tab w:val="left" w:leader="none" w:pos="-180"/>
                <w:tab w:val="right" w:leader="none" w:pos="1980"/>
                <w:tab w:val="left" w:leader="none" w:pos="2160"/>
                <w:tab w:val="left" w:leader="none" w:pos="4320"/>
              </w:tabs>
              <w:jc w:val="center"/>
              <w:rPr/>
            </w:pPr>
            <w:r w:rsidDel="00000000" w:rsidR="00000000" w:rsidRPr="00000000">
              <w:rPr>
                <w:rFonts w:ascii="Calibri" w:cs="Calibri" w:eastAsia="Calibri" w:hAnsi="Calibri"/>
                <w:color w:val="808080"/>
                <w:rtl w:val="0"/>
              </w:rPr>
              <w:t xml:space="preserve">Click here to enter a date.</w:t>
            </w:r>
            <w:r w:rsidDel="00000000" w:rsidR="00000000" w:rsidRPr="00000000">
              <w:rPr>
                <w:rtl w:val="0"/>
              </w:rPr>
            </w:r>
          </w:p>
        </w:tc>
        <w:tc>
          <w:tcPr>
            <w:vAlign w:val="center"/>
          </w:tcPr>
          <w:p w:rsidR="00000000" w:rsidDel="00000000" w:rsidP="00000000" w:rsidRDefault="00000000" w:rsidRPr="00000000" w14:paraId="00000060">
            <w:pPr>
              <w:tabs>
                <w:tab w:val="left" w:leader="none" w:pos="-180"/>
                <w:tab w:val="right" w:leader="none" w:pos="1980"/>
                <w:tab w:val="left" w:leader="none" w:pos="2160"/>
                <w:tab w:val="left" w:leader="none" w:pos="4320"/>
              </w:tab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1">
            <w:pPr>
              <w:tabs>
                <w:tab w:val="left" w:leader="none" w:pos="-180"/>
                <w:tab w:val="right" w:leader="none" w:pos="1980"/>
                <w:tab w:val="left" w:leader="none" w:pos="2160"/>
                <w:tab w:val="left" w:leader="none" w:pos="4320"/>
              </w:tabs>
              <w:jc w:val="center"/>
              <w:rPr/>
            </w:pPr>
            <w:r w:rsidDel="00000000" w:rsidR="00000000" w:rsidRPr="00000000">
              <w:rPr>
                <w:rtl w:val="0"/>
              </w:rPr>
              <w:t xml:space="preserve">Nome e Título</w:t>
            </w:r>
          </w:p>
        </w:tc>
        <w:tc>
          <w:tcPr>
            <w:gridSpan w:val="2"/>
            <w:vAlign w:val="center"/>
          </w:tcPr>
          <w:p w:rsidR="00000000" w:rsidDel="00000000" w:rsidP="00000000" w:rsidRDefault="00000000" w:rsidRPr="00000000" w14:paraId="00000062">
            <w:pPr>
              <w:tabs>
                <w:tab w:val="left" w:leader="none" w:pos="-180"/>
                <w:tab w:val="right" w:leader="none" w:pos="1980"/>
                <w:tab w:val="left" w:leader="none" w:pos="2160"/>
                <w:tab w:val="left" w:leader="none" w:pos="4320"/>
              </w:tabs>
              <w:jc w:val="center"/>
              <w:rPr/>
            </w:pPr>
            <w:r w:rsidDel="00000000" w:rsidR="00000000" w:rsidRPr="00000000">
              <w:rPr>
                <w:rtl w:val="0"/>
              </w:rPr>
              <w:t xml:space="preserve">Data e Local</w:t>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00"/>
        </w:rPr>
      </w:pPr>
      <w:r w:rsidDel="00000000" w:rsidR="00000000" w:rsidRPr="00000000">
        <w:rPr>
          <w:rtl w:val="0"/>
        </w:rPr>
      </w:r>
    </w:p>
    <w:sectPr>
      <w:headerReference r:id="rId6" w:type="default"/>
      <w:footerReference r:id="rId7" w:type="default"/>
      <w:footerReference r:id="rId8" w:type="even"/>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Light"/>
  <w:font w:name="inhe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center" w:leader="none" w:pos="4419"/>
        <w:tab w:val="right" w:leader="none" w:pos="8838"/>
      </w:tabs>
      <w:spacing w:after="0" w:line="240" w:lineRule="auto"/>
      <w:jc w:val="right"/>
      <w:rPr>
        <w:color w:val="000000"/>
        <w:sz w:val="14"/>
        <w:szCs w:val="14"/>
      </w:rPr>
    </w:pPr>
    <w:r w:rsidDel="00000000" w:rsidR="00000000" w:rsidRPr="00000000">
      <w:rPr>
        <w:color w:val="000000"/>
        <w:sz w:val="14"/>
        <w:szCs w:val="14"/>
        <w:rtl w:val="0"/>
      </w:rPr>
      <w:t xml:space="preserve">Casa das Nações Unidas no Brasil </w:t>
    </w:r>
  </w:p>
  <w:p w:rsidR="00000000" w:rsidDel="00000000" w:rsidP="00000000" w:rsidRDefault="00000000" w:rsidRPr="00000000" w14:paraId="0000006A">
    <w:pPr>
      <w:tabs>
        <w:tab w:val="center" w:leader="none" w:pos="4419"/>
        <w:tab w:val="right" w:leader="none" w:pos="8838"/>
      </w:tabs>
      <w:spacing w:after="0" w:line="240" w:lineRule="auto"/>
      <w:jc w:val="right"/>
      <w:rPr>
        <w:color w:val="000000"/>
        <w:sz w:val="14"/>
        <w:szCs w:val="14"/>
      </w:rPr>
    </w:pPr>
    <w:r w:rsidDel="00000000" w:rsidR="00000000" w:rsidRPr="00000000">
      <w:rPr>
        <w:color w:val="000000"/>
        <w:sz w:val="14"/>
        <w:szCs w:val="14"/>
        <w:rtl w:val="0"/>
      </w:rPr>
      <w:t xml:space="preserve">Setor de Embaixadas Norte</w:t>
    </w:r>
  </w:p>
  <w:p w:rsidR="00000000" w:rsidDel="00000000" w:rsidP="00000000" w:rsidRDefault="00000000" w:rsidRPr="00000000" w14:paraId="0000006B">
    <w:pPr>
      <w:tabs>
        <w:tab w:val="center" w:leader="none" w:pos="4419"/>
        <w:tab w:val="right" w:leader="none" w:pos="8838"/>
      </w:tabs>
      <w:spacing w:after="0" w:line="240" w:lineRule="auto"/>
      <w:jc w:val="right"/>
      <w:rPr>
        <w:color w:val="000000"/>
        <w:sz w:val="14"/>
        <w:szCs w:val="14"/>
      </w:rPr>
    </w:pPr>
    <w:r w:rsidDel="00000000" w:rsidR="00000000" w:rsidRPr="00000000">
      <w:rPr>
        <w:color w:val="000000"/>
        <w:sz w:val="14"/>
        <w:szCs w:val="14"/>
        <w:rtl w:val="0"/>
      </w:rPr>
      <w:t xml:space="preserve">SEN Quadra 802, Conjunto C, Lote 17</w:t>
    </w:r>
  </w:p>
  <w:p w:rsidR="00000000" w:rsidDel="00000000" w:rsidP="00000000" w:rsidRDefault="00000000" w:rsidRPr="00000000" w14:paraId="0000006C">
    <w:pPr>
      <w:tabs>
        <w:tab w:val="center" w:leader="none" w:pos="4419"/>
        <w:tab w:val="right" w:leader="none" w:pos="8838"/>
      </w:tabs>
      <w:spacing w:after="0" w:line="240" w:lineRule="auto"/>
      <w:jc w:val="right"/>
      <w:rPr>
        <w:color w:val="000000"/>
        <w:sz w:val="14"/>
        <w:szCs w:val="14"/>
      </w:rPr>
    </w:pPr>
    <w:r w:rsidDel="00000000" w:rsidR="00000000" w:rsidRPr="00000000">
      <w:rPr>
        <w:color w:val="000000"/>
        <w:sz w:val="14"/>
        <w:szCs w:val="14"/>
        <w:rtl w:val="0"/>
      </w:rPr>
      <w:t xml:space="preserve">Complexo Sérgio Vieira de Mello</w:t>
    </w:r>
  </w:p>
  <w:p w:rsidR="00000000" w:rsidDel="00000000" w:rsidP="00000000" w:rsidRDefault="00000000" w:rsidRPr="00000000" w14:paraId="0000006D">
    <w:pPr>
      <w:tabs>
        <w:tab w:val="center" w:leader="none" w:pos="4419"/>
        <w:tab w:val="right" w:leader="none" w:pos="8838"/>
      </w:tabs>
      <w:spacing w:after="0" w:line="240" w:lineRule="auto"/>
      <w:jc w:val="right"/>
      <w:rPr>
        <w:color w:val="000000"/>
        <w:sz w:val="14"/>
        <w:szCs w:val="14"/>
      </w:rPr>
    </w:pPr>
    <w:r w:rsidDel="00000000" w:rsidR="00000000" w:rsidRPr="00000000">
      <w:rPr>
        <w:color w:val="000000"/>
        <w:sz w:val="14"/>
        <w:szCs w:val="14"/>
        <w:rtl w:val="0"/>
      </w:rPr>
      <w:t xml:space="preserve">70800-400 – Brasília, DF - Brasil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252"/>
        <w:tab w:val="right" w:leader="none" w:pos="8504"/>
      </w:tabs>
      <w:spacing w:after="0" w:line="567"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Fonts w:ascii="Arial" w:cs="Arial" w:eastAsia="Arial" w:hAnsi="Arial"/>
        <w:color w:val="000000"/>
      </w:rPr>
      <w:drawing>
        <wp:inline distB="114300" distT="114300" distL="114300" distR="114300">
          <wp:extent cx="704984" cy="29533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4984" cy="295331"/>
                  </a:xfrm>
                  <a:prstGeom prst="rect"/>
                  <a:ln/>
                </pic:spPr>
              </pic:pic>
            </a:graphicData>
          </a:graphic>
        </wp:inline>
      </w:drawing>
    </w:r>
    <w:r w:rsidDel="00000000" w:rsidR="00000000" w:rsidRPr="00000000">
      <w:rPr>
        <w:color w:val="000000"/>
        <w:rtl w:val="0"/>
      </w:rPr>
      <w:t xml:space="preserve"> </w:t>
    </w:r>
  </w:p>
  <w:p w:rsidR="00000000" w:rsidDel="00000000" w:rsidP="00000000" w:rsidRDefault="00000000" w:rsidRPr="00000000" w14:paraId="00000066">
    <w:pPr>
      <w:spacing w:after="0" w:line="240" w:lineRule="auto"/>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Fundo de População </w:t>
    </w:r>
  </w:p>
  <w:p w:rsidR="00000000" w:rsidDel="00000000" w:rsidP="00000000" w:rsidRDefault="00000000" w:rsidRPr="00000000" w14:paraId="00000067">
    <w:pPr>
      <w:spacing w:after="0" w:line="240" w:lineRule="auto"/>
      <w:rPr>
        <w:rFonts w:ascii="Roboto" w:cs="Roboto" w:eastAsia="Roboto" w:hAnsi="Roboto"/>
        <w:b w:val="1"/>
        <w:sz w:val="16"/>
        <w:szCs w:val="16"/>
      </w:rPr>
    </w:pPr>
    <w:r w:rsidDel="00000000" w:rsidR="00000000" w:rsidRPr="00000000">
      <w:rPr>
        <w:rFonts w:ascii="Roboto" w:cs="Roboto" w:eastAsia="Roboto" w:hAnsi="Roboto"/>
        <w:b w:val="1"/>
        <w:sz w:val="16"/>
        <w:szCs w:val="16"/>
        <w:rtl w:val="0"/>
      </w:rPr>
      <w:t xml:space="preserve">das Nações Unidas</w:t>
    </w:r>
  </w:p>
  <w:p w:rsidR="00000000" w:rsidDel="00000000" w:rsidP="00000000" w:rsidRDefault="00000000" w:rsidRPr="00000000" w14:paraId="00000068">
    <w:pPr>
      <w:spacing w:after="0" w:line="240" w:lineRule="auto"/>
      <w:rPr>
        <w:rFonts w:ascii="Roboto" w:cs="Roboto" w:eastAsia="Roboto" w:hAnsi="Roboto"/>
        <w:b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Light" w:cs="Calibri Light" w:eastAsia="Calibri Light" w:hAnsi="Calibri Light"/>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