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340" w:lineRule="auto"/>
        <w:ind w:left="450" w:right="-30" w:firstLine="0"/>
        <w:rPr/>
      </w:pPr>
      <w:bookmarkStart w:colFirst="0" w:colLast="0" w:name="_qfu6rn7x2ssh" w:id="0"/>
      <w:bookmarkEnd w:id="0"/>
      <w:r w:rsidDel="00000000" w:rsidR="00000000" w:rsidRPr="00000000">
        <w:rPr>
          <w:rtl w:val="0"/>
        </w:rPr>
        <w:t xml:space="preserve">Anexo I</w:t>
      </w:r>
    </w:p>
    <w:p w:rsidR="00000000" w:rsidDel="00000000" w:rsidP="00000000" w:rsidRDefault="00000000" w:rsidRPr="00000000" w14:paraId="00000002">
      <w:pPr>
        <w:pageBreakBefore w:val="0"/>
        <w:spacing w:line="229" w:lineRule="auto"/>
        <w:ind w:left="450" w:right="-3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202020"/>
          <w:sz w:val="20"/>
          <w:szCs w:val="20"/>
          <w:rtl w:val="0"/>
        </w:rPr>
        <w:t xml:space="preserve">FORMULÁRIO DE COTAÇÃO DE PREÇO</w:t>
      </w:r>
      <w:r w:rsidDel="00000000" w:rsidR="00000000" w:rsidRPr="00000000">
        <w:rPr>
          <w:rtl w:val="0"/>
        </w:rPr>
      </w:r>
    </w:p>
    <w:p w:rsidR="00000000" w:rsidDel="00000000" w:rsidP="00000000" w:rsidRDefault="00000000" w:rsidRPr="00000000" w14:paraId="00000003">
      <w:pPr>
        <w:pageBreakBefore w:val="0"/>
        <w:spacing w:before="6" w:lineRule="auto"/>
        <w:ind w:left="450" w:right="-30" w:firstLine="0"/>
        <w:rPr>
          <w:rFonts w:ascii="Times New Roman" w:cs="Times New Roman" w:eastAsia="Times New Roman" w:hAnsi="Times New Roman"/>
          <w:b w:val="1"/>
          <w:sz w:val="23"/>
          <w:szCs w:val="23"/>
        </w:rPr>
      </w:pPr>
      <w:r w:rsidDel="00000000" w:rsidR="00000000" w:rsidRPr="00000000">
        <w:rPr>
          <w:rtl w:val="0"/>
        </w:rPr>
      </w:r>
    </w:p>
    <w:tbl>
      <w:tblPr>
        <w:tblStyle w:val="Table1"/>
        <w:tblW w:w="9777.0" w:type="dxa"/>
        <w:jc w:val="left"/>
        <w:tblInd w:w="363.0" w:type="dxa"/>
        <w:tblBorders>
          <w:top w:color="f1f1f1" w:space="0" w:sz="4" w:val="single"/>
          <w:left w:color="f1f1f1" w:space="0" w:sz="4" w:val="single"/>
          <w:bottom w:color="f1f1f1" w:space="0" w:sz="4" w:val="single"/>
          <w:right w:color="f1f1f1" w:space="0" w:sz="4" w:val="single"/>
          <w:insideH w:color="f1f1f1" w:space="0" w:sz="4" w:val="single"/>
          <w:insideV w:color="f1f1f1" w:space="0" w:sz="4" w:val="single"/>
        </w:tblBorders>
        <w:tblLayout w:type="fixed"/>
        <w:tblLook w:val="0000"/>
      </w:tblPr>
      <w:tblGrid>
        <w:gridCol w:w="3709"/>
        <w:gridCol w:w="6068"/>
        <w:tblGridChange w:id="0">
          <w:tblGrid>
            <w:gridCol w:w="3709"/>
            <w:gridCol w:w="6068"/>
          </w:tblGrid>
        </w:tblGridChange>
      </w:tblGrid>
      <w:tr>
        <w:trPr>
          <w:cantSplit w:val="0"/>
          <w:trHeight w:val="268" w:hRule="atLeast"/>
          <w:tblHeader w:val="1"/>
        </w:trPr>
        <w:tc>
          <w:tcPr/>
          <w:p w:rsidR="00000000" w:rsidDel="00000000" w:rsidP="00000000" w:rsidRDefault="00000000" w:rsidRPr="00000000" w14:paraId="00000004">
            <w:pPr>
              <w:pageBreakBefore w:val="0"/>
              <w:spacing w:line="248.00000000000006" w:lineRule="auto"/>
              <w:ind w:left="450" w:right="-30" w:firstLine="0"/>
              <w:rPr>
                <w:sz w:val="20"/>
                <w:szCs w:val="20"/>
              </w:rPr>
            </w:pPr>
            <w:r w:rsidDel="00000000" w:rsidR="00000000" w:rsidRPr="00000000">
              <w:rPr>
                <w:sz w:val="20"/>
                <w:szCs w:val="20"/>
                <w:rtl w:val="0"/>
              </w:rPr>
              <w:t xml:space="preserve">Nome da Licitante:</w:t>
            </w:r>
          </w:p>
        </w:tc>
        <w:tc>
          <w:tcPr/>
          <w:p w:rsidR="00000000" w:rsidDel="00000000" w:rsidP="00000000" w:rsidRDefault="00000000" w:rsidRPr="00000000" w14:paraId="00000005">
            <w:pPr>
              <w:pageBreakBefore w:val="0"/>
              <w:ind w:left="450" w:right="-30" w:firstLine="0"/>
              <w:rPr>
                <w:rFonts w:ascii="Times New Roman" w:cs="Times New Roman" w:eastAsia="Times New Roman" w:hAnsi="Times New Roman"/>
                <w:sz w:val="20"/>
                <w:szCs w:val="20"/>
              </w:rPr>
            </w:pPr>
            <w:r w:rsidDel="00000000" w:rsidR="00000000" w:rsidRPr="00000000">
              <w:rPr>
                <w:rtl w:val="0"/>
              </w:rPr>
            </w:r>
          </w:p>
        </w:tc>
      </w:tr>
      <w:tr>
        <w:trPr>
          <w:cantSplit w:val="0"/>
          <w:trHeight w:val="268" w:hRule="atLeast"/>
          <w:tblHeader w:val="1"/>
        </w:trPr>
        <w:tc>
          <w:tcPr/>
          <w:p w:rsidR="00000000" w:rsidDel="00000000" w:rsidP="00000000" w:rsidRDefault="00000000" w:rsidRPr="00000000" w14:paraId="00000006">
            <w:pPr>
              <w:pageBreakBefore w:val="0"/>
              <w:spacing w:line="248.00000000000006" w:lineRule="auto"/>
              <w:ind w:left="450" w:right="-30" w:firstLine="0"/>
              <w:rPr>
                <w:sz w:val="20"/>
                <w:szCs w:val="20"/>
              </w:rPr>
            </w:pPr>
            <w:r w:rsidDel="00000000" w:rsidR="00000000" w:rsidRPr="00000000">
              <w:rPr>
                <w:sz w:val="20"/>
                <w:szCs w:val="20"/>
                <w:rtl w:val="0"/>
              </w:rPr>
              <w:t xml:space="preserve">Data da Cotação:</w:t>
            </w:r>
          </w:p>
        </w:tc>
        <w:tc>
          <w:tcPr/>
          <w:p w:rsidR="00000000" w:rsidDel="00000000" w:rsidP="00000000" w:rsidRDefault="00000000" w:rsidRPr="00000000" w14:paraId="00000007">
            <w:pPr>
              <w:pageBreakBefore w:val="0"/>
              <w:spacing w:line="248.00000000000006" w:lineRule="auto"/>
              <w:ind w:left="450" w:right="-30" w:firstLine="0"/>
              <w:jc w:val="center"/>
              <w:rPr>
                <w:sz w:val="20"/>
                <w:szCs w:val="20"/>
              </w:rPr>
            </w:pPr>
            <w:r w:rsidDel="00000000" w:rsidR="00000000" w:rsidRPr="00000000">
              <w:rPr>
                <w:color w:val="808080"/>
                <w:sz w:val="20"/>
                <w:szCs w:val="20"/>
                <w:rtl w:val="0"/>
              </w:rPr>
              <w:t xml:space="preserve">Click here to enter a date.</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08">
            <w:pPr>
              <w:pageBreakBefore w:val="0"/>
              <w:spacing w:line="248.00000000000006" w:lineRule="auto"/>
              <w:ind w:left="450" w:right="-30" w:firstLine="0"/>
              <w:rPr>
                <w:sz w:val="20"/>
                <w:szCs w:val="20"/>
              </w:rPr>
            </w:pPr>
            <w:r w:rsidDel="00000000" w:rsidR="00000000" w:rsidRPr="00000000">
              <w:rPr>
                <w:rtl w:val="0"/>
              </w:rPr>
            </w:r>
          </w:p>
        </w:tc>
        <w:tc>
          <w:tcPr/>
          <w:p w:rsidR="00000000" w:rsidDel="00000000" w:rsidP="00000000" w:rsidRDefault="00000000" w:rsidRPr="00000000" w14:paraId="00000009">
            <w:pPr>
              <w:pageBreakBefore w:val="0"/>
              <w:spacing w:line="248.00000000000006" w:lineRule="auto"/>
              <w:ind w:left="450" w:right="-30" w:firstLine="0"/>
              <w:jc w:val="center"/>
              <w:rPr>
                <w:color w:val="808080"/>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0A">
            <w:pPr>
              <w:pageBreakBefore w:val="0"/>
              <w:spacing w:line="248.00000000000006" w:lineRule="auto"/>
              <w:ind w:left="450" w:right="-30" w:firstLine="0"/>
              <w:rPr>
                <w:sz w:val="20"/>
                <w:szCs w:val="20"/>
              </w:rPr>
            </w:pPr>
            <w:r w:rsidDel="00000000" w:rsidR="00000000" w:rsidRPr="00000000">
              <w:rPr>
                <w:sz w:val="20"/>
                <w:szCs w:val="20"/>
                <w:rtl w:val="0"/>
              </w:rPr>
              <w:t xml:space="preserve">Solicitação de Cotação- RFQ Nº:</w:t>
            </w:r>
          </w:p>
        </w:tc>
        <w:tc>
          <w:tcPr/>
          <w:p w:rsidR="00000000" w:rsidDel="00000000" w:rsidP="00000000" w:rsidRDefault="00000000" w:rsidRPr="00000000" w14:paraId="0000000B">
            <w:pPr>
              <w:pageBreakBefore w:val="0"/>
              <w:spacing w:line="248.00000000000006" w:lineRule="auto"/>
              <w:ind w:left="450" w:right="-30" w:firstLine="0"/>
              <w:jc w:val="center"/>
              <w:rPr>
                <w:sz w:val="20"/>
                <w:szCs w:val="20"/>
              </w:rPr>
            </w:pPr>
            <w:r w:rsidDel="00000000" w:rsidR="00000000" w:rsidRPr="00000000">
              <w:rPr>
                <w:sz w:val="20"/>
                <w:szCs w:val="20"/>
                <w:rtl w:val="0"/>
              </w:rPr>
              <w:t xml:space="preserve">UNFPA/BRA/RFQ/2022/016</w:t>
            </w:r>
          </w:p>
        </w:tc>
      </w:tr>
      <w:tr>
        <w:trPr>
          <w:cantSplit w:val="0"/>
          <w:trHeight w:val="268" w:hRule="atLeast"/>
          <w:tblHeader w:val="0"/>
        </w:trPr>
        <w:tc>
          <w:tcPr/>
          <w:p w:rsidR="00000000" w:rsidDel="00000000" w:rsidP="00000000" w:rsidRDefault="00000000" w:rsidRPr="00000000" w14:paraId="0000000C">
            <w:pPr>
              <w:pageBreakBefore w:val="0"/>
              <w:spacing w:line="248.00000000000006" w:lineRule="auto"/>
              <w:ind w:left="450" w:right="-30" w:firstLine="0"/>
              <w:rPr>
                <w:sz w:val="20"/>
                <w:szCs w:val="20"/>
              </w:rPr>
            </w:pPr>
            <w:r w:rsidDel="00000000" w:rsidR="00000000" w:rsidRPr="00000000">
              <w:rPr>
                <w:sz w:val="20"/>
                <w:szCs w:val="20"/>
                <w:rtl w:val="0"/>
              </w:rPr>
              <w:t xml:space="preserve">Moeda da Cotação:</w:t>
            </w:r>
          </w:p>
        </w:tc>
        <w:tc>
          <w:tcPr/>
          <w:p w:rsidR="00000000" w:rsidDel="00000000" w:rsidP="00000000" w:rsidRDefault="00000000" w:rsidRPr="00000000" w14:paraId="0000000D">
            <w:pPr>
              <w:pageBreakBefore w:val="0"/>
              <w:spacing w:line="248.00000000000006" w:lineRule="auto"/>
              <w:ind w:left="450" w:right="-30" w:firstLine="0"/>
              <w:jc w:val="center"/>
              <w:rPr>
                <w:sz w:val="20"/>
                <w:szCs w:val="20"/>
              </w:rPr>
            </w:pPr>
            <w:r w:rsidDel="00000000" w:rsidR="00000000" w:rsidRPr="00000000">
              <w:rPr>
                <w:sz w:val="20"/>
                <w:szCs w:val="20"/>
                <w:rtl w:val="0"/>
              </w:rPr>
              <w:t xml:space="preserve">BRL</w:t>
            </w:r>
          </w:p>
        </w:tc>
      </w:tr>
      <w:tr>
        <w:trPr>
          <w:cantSplit w:val="0"/>
          <w:trHeight w:val="1074" w:hRule="atLeast"/>
          <w:tblHeader w:val="0"/>
        </w:trPr>
        <w:tc>
          <w:tcPr/>
          <w:p w:rsidR="00000000" w:rsidDel="00000000" w:rsidP="00000000" w:rsidRDefault="00000000" w:rsidRPr="00000000" w14:paraId="0000000E">
            <w:pPr>
              <w:pageBreakBefore w:val="0"/>
              <w:spacing w:line="267" w:lineRule="auto"/>
              <w:ind w:left="450" w:right="-30" w:firstLine="0"/>
              <w:rPr>
                <w:sz w:val="20"/>
                <w:szCs w:val="20"/>
              </w:rPr>
            </w:pPr>
            <w:r w:rsidDel="00000000" w:rsidR="00000000" w:rsidRPr="00000000">
              <w:rPr>
                <w:sz w:val="20"/>
                <w:szCs w:val="20"/>
                <w:rtl w:val="0"/>
              </w:rPr>
              <w:t xml:space="preserve">Validade da cotação:</w:t>
            </w:r>
          </w:p>
          <w:p w:rsidR="00000000" w:rsidDel="00000000" w:rsidP="00000000" w:rsidRDefault="00000000" w:rsidRPr="00000000" w14:paraId="0000000F">
            <w:pPr>
              <w:pageBreakBefore w:val="0"/>
              <w:ind w:left="450" w:right="-30" w:firstLine="0"/>
              <w:rPr>
                <w:sz w:val="20"/>
                <w:szCs w:val="20"/>
              </w:rPr>
            </w:pPr>
            <w:r w:rsidDel="00000000" w:rsidR="00000000" w:rsidRPr="00000000">
              <w:rPr>
                <w:sz w:val="20"/>
                <w:szCs w:val="20"/>
                <w:rtl w:val="0"/>
              </w:rPr>
              <w:t xml:space="preserve">(cotação deverá válida por um período mínimo de 1 mês após o prazo de</w:t>
            </w:r>
          </w:p>
          <w:p w:rsidR="00000000" w:rsidDel="00000000" w:rsidP="00000000" w:rsidRDefault="00000000" w:rsidRPr="00000000" w14:paraId="00000010">
            <w:pPr>
              <w:pageBreakBefore w:val="0"/>
              <w:spacing w:line="252.00000000000003" w:lineRule="auto"/>
              <w:ind w:left="450" w:right="-30" w:firstLine="0"/>
              <w:rPr>
                <w:sz w:val="20"/>
                <w:szCs w:val="20"/>
              </w:rPr>
            </w:pPr>
            <w:r w:rsidDel="00000000" w:rsidR="00000000" w:rsidRPr="00000000">
              <w:rPr>
                <w:sz w:val="20"/>
                <w:szCs w:val="20"/>
                <w:rtl w:val="0"/>
              </w:rPr>
              <w:t xml:space="preserve">apresentação)</w:t>
            </w:r>
          </w:p>
        </w:tc>
        <w:tc>
          <w:tcPr/>
          <w:p w:rsidR="00000000" w:rsidDel="00000000" w:rsidP="00000000" w:rsidRDefault="00000000" w:rsidRPr="00000000" w14:paraId="00000011">
            <w:pPr>
              <w:pageBreakBefore w:val="0"/>
              <w:ind w:left="450" w:right="-3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12">
      <w:pPr>
        <w:widowControl w:val="1"/>
        <w:tabs>
          <w:tab w:val="left" w:pos="-720"/>
        </w:tabs>
        <w:spacing w:after="120" w:before="120" w:lineRule="auto"/>
        <w:rPr/>
      </w:pPr>
      <w:r w:rsidDel="00000000" w:rsidR="00000000" w:rsidRPr="00000000">
        <w:rPr>
          <w:rFonts w:ascii="Arial" w:cs="Arial" w:eastAsia="Arial" w:hAnsi="Arial"/>
          <w:rtl w:val="0"/>
        </w:rPr>
        <w:t xml:space="preserve"> </w:t>
        <w:tab/>
      </w:r>
      <w:r w:rsidDel="00000000" w:rsidR="00000000" w:rsidRPr="00000000">
        <w:rPr>
          <w:rtl w:val="0"/>
        </w:rPr>
      </w:r>
    </w:p>
    <w:p w:rsidR="00000000" w:rsidDel="00000000" w:rsidP="00000000" w:rsidRDefault="00000000" w:rsidRPr="00000000" w14:paraId="00000013">
      <w:pPr>
        <w:widowControl w:val="1"/>
        <w:spacing w:line="276" w:lineRule="auto"/>
        <w:rPr/>
      </w:pPr>
      <w:r w:rsidDel="00000000" w:rsidR="00000000" w:rsidRPr="00000000">
        <w:rPr>
          <w:rtl w:val="0"/>
        </w:rPr>
      </w:r>
    </w:p>
    <w:tbl>
      <w:tblPr>
        <w:tblStyle w:val="Table2"/>
        <w:tblW w:w="1045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5955"/>
        <w:gridCol w:w="1515"/>
        <w:gridCol w:w="1770"/>
        <w:tblGridChange w:id="0">
          <w:tblGrid>
            <w:gridCol w:w="1215"/>
            <w:gridCol w:w="5955"/>
            <w:gridCol w:w="1515"/>
            <w:gridCol w:w="17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rPr/>
            </w:pPr>
            <w:r w:rsidDel="00000000" w:rsidR="00000000" w:rsidRPr="00000000">
              <w:rPr>
                <w:rtl w:val="0"/>
              </w:rPr>
              <w:t xml:space="preserve">No. do produto</w:t>
            </w:r>
          </w:p>
        </w:tc>
        <w:tc>
          <w:tcPr>
            <w:shd w:fill="auto" w:val="clear"/>
            <w:tcMar>
              <w:top w:w="100.0" w:type="dxa"/>
              <w:left w:w="100.0" w:type="dxa"/>
              <w:bottom w:w="100.0" w:type="dxa"/>
              <w:right w:w="100.0" w:type="dxa"/>
            </w:tcMar>
          </w:tcPr>
          <w:p w:rsidR="00000000" w:rsidDel="00000000" w:rsidP="00000000" w:rsidRDefault="00000000" w:rsidRPr="00000000" w14:paraId="00000015">
            <w:pPr>
              <w:rPr/>
            </w:pPr>
            <w:r w:rsidDel="00000000" w:rsidR="00000000" w:rsidRPr="00000000">
              <w:rPr>
                <w:rtl w:val="0"/>
              </w:rPr>
              <w:t xml:space="preserve">Especificação do produto</w:t>
            </w:r>
          </w:p>
        </w:tc>
        <w:tc>
          <w:tcPr>
            <w:shd w:fill="auto" w:val="clear"/>
            <w:tcMar>
              <w:top w:w="100.0" w:type="dxa"/>
              <w:left w:w="100.0" w:type="dxa"/>
              <w:bottom w:w="100.0" w:type="dxa"/>
              <w:right w:w="100.0" w:type="dxa"/>
            </w:tcMar>
          </w:tcPr>
          <w:p w:rsidR="00000000" w:rsidDel="00000000" w:rsidP="00000000" w:rsidRDefault="00000000" w:rsidRPr="00000000" w14:paraId="00000016">
            <w:pPr>
              <w:rPr/>
            </w:pPr>
            <w:r w:rsidDel="00000000" w:rsidR="00000000" w:rsidRPr="00000000">
              <w:rPr>
                <w:rtl w:val="0"/>
              </w:rPr>
              <w:t xml:space="preserve">Prazo de entrega</w:t>
            </w:r>
          </w:p>
        </w:tc>
        <w:tc>
          <w:tcPr>
            <w:shd w:fill="auto" w:val="clear"/>
            <w:tcMar>
              <w:top w:w="100.0" w:type="dxa"/>
              <w:left w:w="100.0" w:type="dxa"/>
              <w:bottom w:w="100.0" w:type="dxa"/>
              <w:right w:w="100.0" w:type="dxa"/>
            </w:tcMar>
          </w:tcPr>
          <w:p w:rsidR="00000000" w:rsidDel="00000000" w:rsidP="00000000" w:rsidRDefault="00000000" w:rsidRPr="00000000" w14:paraId="00000017">
            <w:pPr>
              <w:rPr/>
            </w:pPr>
            <w:r w:rsidDel="00000000" w:rsidR="00000000" w:rsidRPr="00000000">
              <w:rPr>
                <w:rtl w:val="0"/>
              </w:rPr>
              <w:t xml:space="preserve">Valor total (R$)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rPr/>
            </w:pPr>
            <w:r w:rsidDel="00000000" w:rsidR="00000000" w:rsidRPr="00000000">
              <w:rPr>
                <w:rtl w:val="0"/>
              </w:rPr>
              <w:t xml:space="preserve">1</w:t>
            </w:r>
          </w:p>
        </w:tc>
        <w:tc>
          <w:tcPr>
            <w:tcBorders>
              <w:bottom w:color="000000" w:space="0" w:sz="8" w:val="single"/>
              <w:right w:color="000000" w:space="0" w:sz="8" w:val="single"/>
            </w:tcBorders>
            <w:tcMar>
              <w:top w:w="120.0" w:type="dxa"/>
              <w:left w:w="100.0" w:type="dxa"/>
              <w:bottom w:w="100.0" w:type="dxa"/>
              <w:right w:w="60.0" w:type="dxa"/>
            </w:tcMar>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highlight w:val="white"/>
              </w:rPr>
            </w:pPr>
            <w:r w:rsidDel="00000000" w:rsidR="00000000" w:rsidRPr="00000000">
              <w:rPr>
                <w:rtl w:val="0"/>
              </w:rPr>
              <w:t xml:space="preserve">Documento técnico contendo dois projetos, com plano de trabalho, para o desenvolvimento dos dois estudos propostos.</w:t>
            </w:r>
            <w:r w:rsidDel="00000000" w:rsidR="00000000" w:rsidRPr="00000000">
              <w:rPr>
                <w:highlight w:val="white"/>
                <w:rtl w:val="0"/>
              </w:rPr>
              <w:t xml:space="preserve"> Os projetos devem levar em conta as perguntas norteadoras e disposições metodológicas, ampliando-as, escolhendo um foco ou reorganizando-as a partir do diálogo com a equipe de coordenação. Cada projeto deve ter entre cinco e oito páginas.</w:t>
            </w:r>
          </w:p>
        </w:tc>
        <w:tc>
          <w:tcPr>
            <w:shd w:fill="auto" w:val="clear"/>
            <w:tcMar>
              <w:top w:w="100.0" w:type="dxa"/>
              <w:left w:w="100.0" w:type="dxa"/>
              <w:bottom w:w="100.0" w:type="dxa"/>
              <w:right w:w="100.0" w:type="dxa"/>
            </w:tcMar>
          </w:tcPr>
          <w:p w:rsidR="00000000" w:rsidDel="00000000" w:rsidP="00000000" w:rsidRDefault="00000000" w:rsidRPr="00000000" w14:paraId="0000001A">
            <w:pPr>
              <w:rPr/>
            </w:pPr>
            <w:r w:rsidDel="00000000" w:rsidR="00000000" w:rsidRPr="00000000">
              <w:rPr>
                <w:rtl w:val="0"/>
              </w:rPr>
              <w:t xml:space="preserve">Até 20 dias após assinatura do contrato</w:t>
            </w:r>
          </w:p>
        </w:tc>
        <w:tc>
          <w:tcPr>
            <w:shd w:fill="auto" w:val="clear"/>
            <w:tcMar>
              <w:top w:w="100.0" w:type="dxa"/>
              <w:left w:w="100.0" w:type="dxa"/>
              <w:bottom w:w="100.0" w:type="dxa"/>
              <w:right w:w="100.0" w:type="dxa"/>
            </w:tcMar>
          </w:tcPr>
          <w:p w:rsidR="00000000" w:rsidDel="00000000" w:rsidP="00000000" w:rsidRDefault="00000000" w:rsidRPr="00000000" w14:paraId="0000001B">
            <w:pPr>
              <w:rPr/>
            </w:pPr>
            <w:r w:rsidDel="00000000" w:rsidR="00000000" w:rsidRPr="00000000">
              <w:rPr>
                <w:rtl w:val="0"/>
              </w:rPr>
            </w:r>
          </w:p>
        </w:tc>
      </w:tr>
      <w:tr>
        <w:trPr>
          <w:cantSplit w:val="0"/>
          <w:trHeight w:val="7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rPr/>
            </w:pPr>
            <w:r w:rsidDel="00000000" w:rsidR="00000000" w:rsidRPr="00000000">
              <w:rPr>
                <w:rtl w:val="0"/>
              </w:rPr>
              <w:t xml:space="preserve">2</w:t>
            </w:r>
          </w:p>
        </w:tc>
        <w:tc>
          <w:tcPr>
            <w:tcBorders>
              <w:bottom w:color="000000" w:space="0" w:sz="8" w:val="single"/>
              <w:right w:color="000000" w:space="0" w:sz="8" w:val="single"/>
            </w:tcBorders>
            <w:tcMar>
              <w:top w:w="120.0" w:type="dxa"/>
              <w:left w:w="100.0" w:type="dxa"/>
              <w:bottom w:w="100.0" w:type="dxa"/>
              <w:right w:w="60.0" w:type="dxa"/>
            </w:tcMar>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Documento técnico contendo duas revisões bibliográficas, uma para cada estudo, assim como três hipóteses para cada um dos estudos. Cada revisão deve ter entre 20 a 30 páginas.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rPr/>
            </w:pPr>
            <w:r w:rsidDel="00000000" w:rsidR="00000000" w:rsidRPr="00000000">
              <w:rPr>
                <w:rtl w:val="0"/>
              </w:rPr>
              <w:t xml:space="preserve">Até 2 meses após  assinatura do contrato</w:t>
            </w:r>
          </w:p>
        </w:tc>
        <w:tc>
          <w:tcPr>
            <w:shd w:fill="auto" w:val="clear"/>
            <w:tcMar>
              <w:top w:w="100.0" w:type="dxa"/>
              <w:left w:w="100.0" w:type="dxa"/>
              <w:bottom w:w="100.0" w:type="dxa"/>
              <w:right w:w="100.0" w:type="dxa"/>
            </w:tcMar>
          </w:tcPr>
          <w:p w:rsidR="00000000" w:rsidDel="00000000" w:rsidP="00000000" w:rsidRDefault="00000000" w:rsidRPr="00000000" w14:paraId="00000020">
            <w:pPr>
              <w:rPr/>
            </w:pPr>
            <w:r w:rsidDel="00000000" w:rsidR="00000000" w:rsidRPr="00000000">
              <w:rPr>
                <w:rtl w:val="0"/>
              </w:rPr>
            </w:r>
          </w:p>
        </w:tc>
      </w:tr>
      <w:tr>
        <w:trPr>
          <w:cantSplit w:val="0"/>
          <w:trHeight w:val="7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rPr/>
            </w:pPr>
            <w:r w:rsidDel="00000000" w:rsidR="00000000" w:rsidRPr="00000000">
              <w:rPr>
                <w:rtl w:val="0"/>
              </w:rPr>
              <w:t xml:space="preserve">3</w:t>
            </w:r>
          </w:p>
          <w:p w:rsidR="00000000" w:rsidDel="00000000" w:rsidP="00000000" w:rsidRDefault="00000000" w:rsidRPr="00000000" w14:paraId="00000022">
            <w:pPr>
              <w:rPr/>
            </w:pPr>
            <w:r w:rsidDel="00000000" w:rsidR="00000000" w:rsidRPr="00000000">
              <w:rPr>
                <w:rtl w:val="0"/>
              </w:rPr>
            </w:r>
          </w:p>
        </w:tc>
        <w:tc>
          <w:tcPr>
            <w:tcBorders>
              <w:bottom w:color="000000" w:space="0" w:sz="8" w:val="single"/>
              <w:right w:color="000000" w:space="0" w:sz="8" w:val="single"/>
            </w:tcBorders>
            <w:tcMar>
              <w:top w:w="120.0" w:type="dxa"/>
              <w:left w:w="100.0" w:type="dxa"/>
              <w:bottom w:w="100.0" w:type="dxa"/>
              <w:right w:w="60.0" w:type="dxa"/>
            </w:tcMar>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Planejamento detalhado contendo descrição de rotas estratégicas para imersão em campo de pesquisa online ou presencial (poderão ser utilizadas técnicas como entrevistas, aplicação de questionários, participação em eventos, observação participante, etc.). Se for o caso, o documento deve considerar os custos com deslocamentos/passagens/diárias. Entrevistas e atividades de pesquisa online são encorajadas.  </w:t>
            </w:r>
          </w:p>
        </w:tc>
        <w:tc>
          <w:tcPr>
            <w:shd w:fill="auto" w:val="clear"/>
            <w:tcMar>
              <w:top w:w="100.0" w:type="dxa"/>
              <w:left w:w="100.0" w:type="dxa"/>
              <w:bottom w:w="100.0" w:type="dxa"/>
              <w:right w:w="100.0" w:type="dxa"/>
            </w:tcMar>
          </w:tcPr>
          <w:p w:rsidR="00000000" w:rsidDel="00000000" w:rsidP="00000000" w:rsidRDefault="00000000" w:rsidRPr="00000000" w14:paraId="00000024">
            <w:pPr>
              <w:rPr/>
            </w:pPr>
            <w:r w:rsidDel="00000000" w:rsidR="00000000" w:rsidRPr="00000000">
              <w:rPr>
                <w:rtl w:val="0"/>
              </w:rPr>
              <w:t xml:space="preserve">Até 2,5 meses após assinatura do contrato</w:t>
            </w:r>
          </w:p>
        </w:tc>
        <w:tc>
          <w:tcPr>
            <w:shd w:fill="auto" w:val="clear"/>
            <w:tcMar>
              <w:top w:w="100.0" w:type="dxa"/>
              <w:left w:w="100.0" w:type="dxa"/>
              <w:bottom w:w="100.0" w:type="dxa"/>
              <w:right w:w="100.0" w:type="dxa"/>
            </w:tcMar>
          </w:tcPr>
          <w:p w:rsidR="00000000" w:rsidDel="00000000" w:rsidP="00000000" w:rsidRDefault="00000000" w:rsidRPr="00000000" w14:paraId="00000025">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rPr/>
            </w:pPr>
            <w:r w:rsidDel="00000000" w:rsidR="00000000" w:rsidRPr="00000000">
              <w:rPr>
                <w:rtl w:val="0"/>
              </w:rPr>
              <w:t xml:space="preserve">4</w:t>
            </w:r>
          </w:p>
        </w:tc>
        <w:tc>
          <w:tcPr>
            <w:tcBorders>
              <w:top w:color="000000" w:space="0" w:sz="0" w:val="nil"/>
              <w:bottom w:color="000000" w:space="0" w:sz="8" w:val="single"/>
              <w:right w:color="000000" w:space="0" w:sz="8" w:val="single"/>
            </w:tcBorders>
            <w:tcMar>
              <w:top w:w="120.0" w:type="dxa"/>
              <w:left w:w="100.0" w:type="dxa"/>
              <w:bottom w:w="100.0" w:type="dxa"/>
              <w:right w:w="60.0" w:type="dxa"/>
            </w:tcMar>
          </w:tcPr>
          <w:p w:rsidR="00000000" w:rsidDel="00000000" w:rsidP="00000000" w:rsidRDefault="00000000" w:rsidRPr="00000000" w14:paraId="00000027">
            <w:pPr>
              <w:widowControl w:val="1"/>
              <w:spacing w:line="256" w:lineRule="auto"/>
              <w:ind w:right="20"/>
              <w:jc w:val="both"/>
              <w:rPr>
                <w:highlight w:val="white"/>
              </w:rPr>
            </w:pPr>
            <w:r w:rsidDel="00000000" w:rsidR="00000000" w:rsidRPr="00000000">
              <w:rPr>
                <w:rtl w:val="0"/>
              </w:rPr>
              <w:t xml:space="preserve">Documento técnico contendo o detalhamento das atividades de pesquisa desenvolvidas no período de referência a partir da entrega do produto 2, </w:t>
            </w:r>
            <w:r w:rsidDel="00000000" w:rsidR="00000000" w:rsidRPr="00000000">
              <w:rPr>
                <w:highlight w:val="white"/>
                <w:rtl w:val="0"/>
              </w:rPr>
              <w:t xml:space="preserve">especialmente anexando termos de consentimento para a realização de entrevistas, grupos focais e/ou questionários; roteiros de entrevista e/ou questionários, lista de bancos de dados a serem utilizados, entre outros que couberem, assim como os dois planos de trabalho atualizados. </w:t>
            </w:r>
          </w:p>
        </w:tc>
        <w:tc>
          <w:tcPr>
            <w:shd w:fill="auto" w:val="clear"/>
            <w:tcMar>
              <w:top w:w="100.0" w:type="dxa"/>
              <w:left w:w="100.0" w:type="dxa"/>
              <w:bottom w:w="100.0" w:type="dxa"/>
              <w:right w:w="100.0" w:type="dxa"/>
            </w:tcMar>
          </w:tcPr>
          <w:p w:rsidR="00000000" w:rsidDel="00000000" w:rsidP="00000000" w:rsidRDefault="00000000" w:rsidRPr="00000000" w14:paraId="00000028">
            <w:pPr>
              <w:rPr/>
            </w:pPr>
            <w:r w:rsidDel="00000000" w:rsidR="00000000" w:rsidRPr="00000000">
              <w:rPr>
                <w:rtl w:val="0"/>
              </w:rPr>
              <w:t xml:space="preserve">Até 4 meses após assinatura do contrato</w:t>
            </w:r>
          </w:p>
        </w:tc>
        <w:tc>
          <w:tcPr>
            <w:shd w:fill="auto" w:val="clear"/>
            <w:tcMar>
              <w:top w:w="100.0" w:type="dxa"/>
              <w:left w:w="100.0" w:type="dxa"/>
              <w:bottom w:w="100.0" w:type="dxa"/>
              <w:right w:w="100.0" w:type="dxa"/>
            </w:tcMar>
          </w:tcPr>
          <w:p w:rsidR="00000000" w:rsidDel="00000000" w:rsidP="00000000" w:rsidRDefault="00000000" w:rsidRPr="00000000" w14:paraId="00000029">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rPr/>
            </w:pPr>
            <w:r w:rsidDel="00000000" w:rsidR="00000000" w:rsidRPr="00000000">
              <w:rPr>
                <w:rtl w:val="0"/>
              </w:rPr>
              <w:t xml:space="preserve">5</w:t>
            </w:r>
          </w:p>
        </w:tc>
        <w:tc>
          <w:tcPr>
            <w:tcBorders>
              <w:top w:color="000000" w:space="0" w:sz="0" w:val="nil"/>
              <w:bottom w:color="000000" w:space="0" w:sz="8" w:val="single"/>
              <w:right w:color="000000" w:space="0" w:sz="8" w:val="single"/>
            </w:tcBorders>
            <w:tcMar>
              <w:top w:w="120.0" w:type="dxa"/>
              <w:left w:w="100.0" w:type="dxa"/>
              <w:bottom w:w="100.0" w:type="dxa"/>
              <w:right w:w="60.0" w:type="dxa"/>
            </w:tcMar>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highlight w:val="white"/>
              </w:rPr>
            </w:pPr>
            <w:r w:rsidDel="00000000" w:rsidR="00000000" w:rsidRPr="00000000">
              <w:rPr>
                <w:rtl w:val="0"/>
              </w:rPr>
              <w:t xml:space="preserve">Documento técnico contendo a versão inicial (ainda não diagramada) dos dois textos técnicos, </w:t>
            </w:r>
            <w:r w:rsidDel="00000000" w:rsidR="00000000" w:rsidRPr="00000000">
              <w:rPr>
                <w:highlight w:val="white"/>
                <w:rtl w:val="0"/>
              </w:rPr>
              <w:t xml:space="preserve">cada um contendo entre 30 e 50 páginas, apresentando as análises propostas, os dados dos estudos, suas conclusões e recomendações de políticas públicas e ações.</w:t>
            </w:r>
          </w:p>
        </w:tc>
        <w:tc>
          <w:tcPr>
            <w:shd w:fill="auto" w:val="clear"/>
            <w:tcMar>
              <w:top w:w="100.0" w:type="dxa"/>
              <w:left w:w="100.0" w:type="dxa"/>
              <w:bottom w:w="100.0" w:type="dxa"/>
              <w:right w:w="100.0" w:type="dxa"/>
            </w:tcMar>
          </w:tcPr>
          <w:p w:rsidR="00000000" w:rsidDel="00000000" w:rsidP="00000000" w:rsidRDefault="00000000" w:rsidRPr="00000000" w14:paraId="0000002C">
            <w:pPr>
              <w:rPr/>
            </w:pPr>
            <w:r w:rsidDel="00000000" w:rsidR="00000000" w:rsidRPr="00000000">
              <w:rPr>
                <w:rtl w:val="0"/>
              </w:rPr>
              <w:t xml:space="preserve">Até 7 meses após assinatura do contrato</w:t>
            </w:r>
          </w:p>
        </w:tc>
        <w:tc>
          <w:tcPr>
            <w:shd w:fill="auto" w:val="clear"/>
            <w:tcMar>
              <w:top w:w="100.0" w:type="dxa"/>
              <w:left w:w="100.0" w:type="dxa"/>
              <w:bottom w:w="100.0" w:type="dxa"/>
              <w:right w:w="100.0" w:type="dxa"/>
            </w:tcMar>
          </w:tcPr>
          <w:p w:rsidR="00000000" w:rsidDel="00000000" w:rsidP="00000000" w:rsidRDefault="00000000" w:rsidRPr="00000000" w14:paraId="0000002D">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rPr/>
            </w:pPr>
            <w:r w:rsidDel="00000000" w:rsidR="00000000" w:rsidRPr="00000000">
              <w:rPr>
                <w:rtl w:val="0"/>
              </w:rPr>
              <w:t xml:space="preserve">5.1</w:t>
            </w:r>
          </w:p>
        </w:tc>
        <w:tc>
          <w:tcPr>
            <w:tcBorders>
              <w:top w:color="000000" w:space="0" w:sz="0" w:val="nil"/>
              <w:bottom w:color="000000" w:space="0" w:sz="8" w:val="single"/>
              <w:right w:color="000000" w:space="0" w:sz="8" w:val="single"/>
            </w:tcBorders>
            <w:tcMar>
              <w:top w:w="120.0" w:type="dxa"/>
              <w:left w:w="100.0" w:type="dxa"/>
              <w:bottom w:w="100.0" w:type="dxa"/>
              <w:right w:w="60.0" w:type="dxa"/>
            </w:tcMa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Documento técnico contendo a proposta de projeto gráfico para a diagramação dos dois textos técnicos incluindo elaboração de identidade visual com proposta de capa, ilustrações, paleta cores, tipos de fonte (podendo ser adaptadas a partir de banco de imagens)</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rPr/>
            </w:pPr>
            <w:r w:rsidDel="00000000" w:rsidR="00000000" w:rsidRPr="00000000">
              <w:rPr>
                <w:rtl w:val="0"/>
              </w:rPr>
              <w:t xml:space="preserve">Até 7,5 meses após assinatura do contrato</w:t>
            </w:r>
          </w:p>
        </w:tc>
        <w:tc>
          <w:tcPr>
            <w:shd w:fill="auto" w:val="clear"/>
            <w:tcMar>
              <w:top w:w="100.0" w:type="dxa"/>
              <w:left w:w="100.0" w:type="dxa"/>
              <w:bottom w:w="100.0" w:type="dxa"/>
              <w:right w:w="100.0" w:type="dxa"/>
            </w:tcMar>
          </w:tcPr>
          <w:p w:rsidR="00000000" w:rsidDel="00000000" w:rsidP="00000000" w:rsidRDefault="00000000" w:rsidRPr="00000000" w14:paraId="00000032">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rPr/>
            </w:pPr>
            <w:r w:rsidDel="00000000" w:rsidR="00000000" w:rsidRPr="00000000">
              <w:rPr>
                <w:rtl w:val="0"/>
              </w:rPr>
              <w:t xml:space="preserve">6</w:t>
            </w:r>
          </w:p>
        </w:tc>
        <w:tc>
          <w:tcPr>
            <w:tcBorders>
              <w:top w:color="000000" w:space="0" w:sz="0" w:val="nil"/>
              <w:bottom w:color="000000" w:space="0" w:sz="8" w:val="single"/>
              <w:right w:color="000000" w:space="0" w:sz="8" w:val="single"/>
            </w:tcBorders>
            <w:tcMar>
              <w:top w:w="120.0" w:type="dxa"/>
              <w:left w:w="100.0" w:type="dxa"/>
              <w:bottom w:w="100.0" w:type="dxa"/>
              <w:right w:w="60.0" w:type="dxa"/>
            </w:tcMa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Documento técnico contendo a versão final dos dois textos técnicos, </w:t>
            </w:r>
            <w:r w:rsidDel="00000000" w:rsidR="00000000" w:rsidRPr="00000000">
              <w:rPr>
                <w:highlight w:val="white"/>
                <w:rtl w:val="0"/>
              </w:rPr>
              <w:t xml:space="preserve">cada um contendo entre 30 e 50 páginas</w:t>
            </w:r>
            <w:r w:rsidDel="00000000" w:rsidR="00000000" w:rsidRPr="00000000">
              <w:rPr>
                <w:rtl w:val="0"/>
              </w:rPr>
              <w:t xml:space="preserve">, revisada a partir de considerações da equipe de coordenação e diagramada por meio do projeto gráfico aprovada no produto 5.1.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Observação: A diagramação das publicações deve ser disponibilizada em pdf e também em formato “aberto”, para possibilitar ajustes futuros de informações e/ou datas pelo UNFPA, caso necessário. </w:t>
            </w:r>
          </w:p>
        </w:tc>
        <w:tc>
          <w:tcPr>
            <w:shd w:fill="auto" w:val="clear"/>
            <w:tcMar>
              <w:top w:w="100.0" w:type="dxa"/>
              <w:left w:w="100.0" w:type="dxa"/>
              <w:bottom w:w="100.0" w:type="dxa"/>
              <w:right w:w="100.0" w:type="dxa"/>
            </w:tcMar>
          </w:tcPr>
          <w:p w:rsidR="00000000" w:rsidDel="00000000" w:rsidP="00000000" w:rsidRDefault="00000000" w:rsidRPr="00000000" w14:paraId="00000037">
            <w:pPr>
              <w:rPr/>
            </w:pPr>
            <w:r w:rsidDel="00000000" w:rsidR="00000000" w:rsidRPr="00000000">
              <w:rPr>
                <w:rtl w:val="0"/>
              </w:rPr>
              <w:t xml:space="preserve">Até 8 meses após assinatura do contrato</w:t>
            </w:r>
          </w:p>
        </w:tc>
        <w:tc>
          <w:tcPr>
            <w:shd w:fill="auto" w:val="clear"/>
            <w:tcMar>
              <w:top w:w="100.0" w:type="dxa"/>
              <w:left w:w="100.0" w:type="dxa"/>
              <w:bottom w:w="100.0" w:type="dxa"/>
              <w:right w:w="100.0" w:type="dxa"/>
            </w:tcMar>
          </w:tcPr>
          <w:p w:rsidR="00000000" w:rsidDel="00000000" w:rsidP="00000000" w:rsidRDefault="00000000" w:rsidRPr="00000000" w14:paraId="00000038">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rPr/>
            </w:pPr>
            <w:r w:rsidDel="00000000" w:rsidR="00000000" w:rsidRPr="00000000">
              <w:rPr>
                <w:rtl w:val="0"/>
              </w:rPr>
              <w:t xml:space="preserve">7</w:t>
            </w:r>
          </w:p>
        </w:tc>
        <w:tc>
          <w:tcPr>
            <w:tcBorders>
              <w:top w:color="000000" w:space="0" w:sz="0" w:val="nil"/>
              <w:bottom w:color="000000" w:space="0" w:sz="8" w:val="single"/>
              <w:right w:color="000000" w:space="0" w:sz="8" w:val="single"/>
            </w:tcBorders>
            <w:tcMar>
              <w:top w:w="120.0" w:type="dxa"/>
              <w:left w:w="100.0" w:type="dxa"/>
              <w:bottom w:w="100.0" w:type="dxa"/>
              <w:right w:w="60.0" w:type="dxa"/>
            </w:tcMar>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highlight w:val="white"/>
              </w:rPr>
            </w:pPr>
            <w:r w:rsidDel="00000000" w:rsidR="00000000" w:rsidRPr="00000000">
              <w:rPr>
                <w:highlight w:val="white"/>
                <w:rtl w:val="0"/>
              </w:rPr>
              <w:t xml:space="preserve">Documento técnico contendo dois sumários executivos, cada um com duas a três páginas, contendo os principais achados de cada uma.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t xml:space="preserve">Também elaboração de: 4 </w:t>
            </w:r>
            <w:r w:rsidDel="00000000" w:rsidR="00000000" w:rsidRPr="00000000">
              <w:rPr>
                <w:i w:val="1"/>
                <w:rtl w:val="0"/>
              </w:rPr>
              <w:t xml:space="preserve">cards </w:t>
            </w:r>
            <w:r w:rsidDel="00000000" w:rsidR="00000000" w:rsidRPr="00000000">
              <w:rPr>
                <w:rtl w:val="0"/>
              </w:rPr>
              <w:t xml:space="preserve">e texto que acompanha o </w:t>
            </w:r>
            <w:r w:rsidDel="00000000" w:rsidR="00000000" w:rsidRPr="00000000">
              <w:rPr>
                <w:i w:val="1"/>
                <w:rtl w:val="0"/>
              </w:rPr>
              <w:t xml:space="preserve">card </w:t>
            </w:r>
            <w:r w:rsidDel="00000000" w:rsidR="00000000" w:rsidRPr="00000000">
              <w:rPr>
                <w:rtl w:val="0"/>
              </w:rPr>
              <w:t xml:space="preserve">para cada estudo (para publicação em redes sociais - incluir adaptações para Twitter, Facebook e Instagram) com os principais achados de cada estudo; 1 </w:t>
            </w:r>
            <w:r w:rsidDel="00000000" w:rsidR="00000000" w:rsidRPr="00000000">
              <w:rPr>
                <w:i w:val="1"/>
                <w:rtl w:val="0"/>
              </w:rPr>
              <w:t xml:space="preserve">card </w:t>
            </w:r>
            <w:r w:rsidDel="00000000" w:rsidR="00000000" w:rsidRPr="00000000">
              <w:rPr>
                <w:rtl w:val="0"/>
              </w:rPr>
              <w:t xml:space="preserve">por estudo para divulgação de evento (possivelmente webinário).</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highlight w:val="white"/>
              </w:rPr>
            </w:pPr>
            <w:r w:rsidDel="00000000" w:rsidR="00000000" w:rsidRPr="00000000">
              <w:rPr>
                <w:rtl w:val="0"/>
              </w:rPr>
              <w:t xml:space="preserve">Observação: A diagramação dos </w:t>
            </w:r>
            <w:r w:rsidDel="00000000" w:rsidR="00000000" w:rsidRPr="00000000">
              <w:rPr>
                <w:i w:val="1"/>
                <w:rtl w:val="0"/>
              </w:rPr>
              <w:t xml:space="preserve">cards </w:t>
            </w:r>
            <w:r w:rsidDel="00000000" w:rsidR="00000000" w:rsidRPr="00000000">
              <w:rPr>
                <w:rtl w:val="0"/>
              </w:rPr>
              <w:t xml:space="preserve">deve ser disponibilizada em pdf e também em formato “aberto”, para possibilitar ajustes futuros de informações e/ou datas pelo UNFPA, caso necessário. </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highlight w:val="white"/>
              </w:rPr>
            </w:pPr>
            <w:r w:rsidDel="00000000" w:rsidR="00000000" w:rsidRPr="00000000">
              <w:rPr>
                <w:highlight w:val="white"/>
                <w:rtl w:val="0"/>
              </w:rPr>
              <w:t xml:space="preserve">Os cards serão amplamente divulgados, assim, as informações devem ser sucintas, objetivas e estratégicas.</w:t>
            </w:r>
          </w:p>
        </w:tc>
        <w:tc>
          <w:tcPr>
            <w:shd w:fill="auto" w:val="clear"/>
            <w:tcMar>
              <w:top w:w="100.0" w:type="dxa"/>
              <w:left w:w="100.0" w:type="dxa"/>
              <w:bottom w:w="100.0" w:type="dxa"/>
              <w:right w:w="100.0" w:type="dxa"/>
            </w:tcMar>
          </w:tcPr>
          <w:p w:rsidR="00000000" w:rsidDel="00000000" w:rsidP="00000000" w:rsidRDefault="00000000" w:rsidRPr="00000000" w14:paraId="0000003F">
            <w:pPr>
              <w:rPr/>
            </w:pPr>
            <w:r w:rsidDel="00000000" w:rsidR="00000000" w:rsidRPr="00000000">
              <w:rPr>
                <w:rtl w:val="0"/>
              </w:rPr>
              <w:t xml:space="preserve">Até 8,5 meses após assinatura do contrato</w:t>
            </w:r>
          </w:p>
        </w:tc>
        <w:tc>
          <w:tcPr>
            <w:shd w:fill="auto" w:val="clear"/>
            <w:tcMar>
              <w:top w:w="100.0" w:type="dxa"/>
              <w:left w:w="100.0" w:type="dxa"/>
              <w:bottom w:w="100.0" w:type="dxa"/>
              <w:right w:w="100.0" w:type="dxa"/>
            </w:tcMar>
          </w:tcPr>
          <w:p w:rsidR="00000000" w:rsidDel="00000000" w:rsidP="00000000" w:rsidRDefault="00000000" w:rsidRPr="00000000" w14:paraId="00000040">
            <w:pPr>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41">
            <w:pPr>
              <w:rPr>
                <w:b w:val="1"/>
              </w:rPr>
            </w:pPr>
            <w:r w:rsidDel="00000000" w:rsidR="00000000" w:rsidRPr="00000000">
              <w:rPr>
                <w:b w:val="1"/>
                <w:rtl w:val="0"/>
              </w:rPr>
              <w:t xml:space="preserve">TOTAL em R$</w:t>
            </w:r>
          </w:p>
        </w:tc>
        <w:tc>
          <w:tcPr>
            <w:shd w:fill="auto" w:val="clear"/>
            <w:tcMar>
              <w:top w:w="100.0" w:type="dxa"/>
              <w:left w:w="100.0" w:type="dxa"/>
              <w:bottom w:w="100.0" w:type="dxa"/>
              <w:right w:w="100.0" w:type="dxa"/>
            </w:tcMar>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widowControl w:val="1"/>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46">
      <w:pPr>
        <w:widowControl w:val="1"/>
        <w:ind w:left="0" w:firstLine="720"/>
        <w:jc w:val="both"/>
        <w:rPr>
          <w:b w:val="1"/>
          <w:sz w:val="20"/>
          <w:szCs w:val="20"/>
        </w:rPr>
      </w:pPr>
      <w:r w:rsidDel="00000000" w:rsidR="00000000" w:rsidRPr="00000000">
        <w:rPr>
          <w:rFonts w:ascii="Arial" w:cs="Arial" w:eastAsia="Arial" w:hAnsi="Arial"/>
          <w:b w:val="1"/>
          <w:i w:val="1"/>
          <w:sz w:val="20"/>
          <w:szCs w:val="20"/>
          <w:rtl w:val="0"/>
        </w:rPr>
        <w:t xml:space="preserve">* A data estimada do início do contrato é 25 de janeiro de 2023.</w:t>
      </w:r>
      <w:r w:rsidDel="00000000" w:rsidR="00000000" w:rsidRPr="00000000">
        <w:rPr>
          <w:rtl w:val="0"/>
        </w:rPr>
      </w:r>
    </w:p>
    <w:p w:rsidR="00000000" w:rsidDel="00000000" w:rsidP="00000000" w:rsidRDefault="00000000" w:rsidRPr="00000000" w14:paraId="00000047">
      <w:pPr>
        <w:pageBreakBefore w:val="0"/>
        <w:widowControl w:val="1"/>
        <w:spacing w:line="259" w:lineRule="auto"/>
        <w:ind w:left="450" w:right="-30" w:firstLine="0"/>
        <w:jc w:val="both"/>
        <w:rPr>
          <w:b w:val="1"/>
          <w:sz w:val="20"/>
          <w:szCs w:val="20"/>
        </w:rPr>
      </w:pPr>
      <w:r w:rsidDel="00000000" w:rsidR="00000000" w:rsidRPr="00000000">
        <w:rPr>
          <w:rtl w:val="0"/>
        </w:rPr>
      </w:r>
    </w:p>
    <w:p w:rsidR="00000000" w:rsidDel="00000000" w:rsidP="00000000" w:rsidRDefault="00000000" w:rsidRPr="00000000" w14:paraId="00000048">
      <w:pPr>
        <w:pageBreakBefore w:val="0"/>
        <w:widowControl w:val="1"/>
        <w:spacing w:line="259" w:lineRule="auto"/>
        <w:ind w:left="450" w:right="-30" w:firstLine="0"/>
        <w:jc w:val="both"/>
        <w:rPr>
          <w:b w:val="1"/>
          <w:sz w:val="20"/>
          <w:szCs w:val="20"/>
        </w:rPr>
      </w:pPr>
      <w:r w:rsidDel="00000000" w:rsidR="00000000" w:rsidRPr="00000000">
        <w:rPr>
          <w:rtl w:val="0"/>
        </w:rPr>
      </w:r>
    </w:p>
    <w:tbl>
      <w:tblPr>
        <w:tblStyle w:val="Table3"/>
        <w:tblW w:w="988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0"/>
        <w:tblGridChange w:id="0">
          <w:tblGrid>
            <w:gridCol w:w="9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b w:val="1"/>
                <w:i w:val="1"/>
                <w:sz w:val="20"/>
                <w:szCs w:val="20"/>
                <w:rtl w:val="0"/>
              </w:rPr>
              <w:t xml:space="preserve">Comentários da empresa licitante: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rtl w:val="0"/>
              </w:rPr>
            </w:r>
          </w:p>
        </w:tc>
      </w:tr>
    </w:tbl>
    <w:p w:rsidR="00000000" w:rsidDel="00000000" w:rsidP="00000000" w:rsidRDefault="00000000" w:rsidRPr="00000000" w14:paraId="0000004D">
      <w:pPr>
        <w:pageBreakBefore w:val="0"/>
        <w:widowControl w:val="1"/>
        <w:spacing w:line="259" w:lineRule="auto"/>
        <w:ind w:left="450" w:right="-30" w:firstLine="0"/>
        <w:jc w:val="both"/>
        <w:rPr>
          <w:b w:val="1"/>
          <w:sz w:val="20"/>
          <w:szCs w:val="20"/>
        </w:rPr>
      </w:pPr>
      <w:r w:rsidDel="00000000" w:rsidR="00000000" w:rsidRPr="00000000">
        <w:rPr>
          <w:rtl w:val="0"/>
        </w:rPr>
      </w:r>
    </w:p>
    <w:p w:rsidR="00000000" w:rsidDel="00000000" w:rsidP="00000000" w:rsidRDefault="00000000" w:rsidRPr="00000000" w14:paraId="0000004E">
      <w:pPr>
        <w:pageBreakBefore w:val="0"/>
        <w:tabs>
          <w:tab w:val="left" w:pos="6085"/>
        </w:tabs>
        <w:spacing w:before="59" w:line="276" w:lineRule="auto"/>
        <w:ind w:left="450" w:right="-30" w:firstLine="0"/>
        <w:jc w:val="both"/>
        <w:rPr>
          <w:rFonts w:ascii="Arial MT" w:cs="Arial MT" w:eastAsia="Arial MT" w:hAnsi="Arial MT"/>
          <w:sz w:val="20"/>
          <w:szCs w:val="20"/>
        </w:rPr>
      </w:pPr>
      <w:r w:rsidDel="00000000" w:rsidR="00000000" w:rsidRPr="00000000">
        <w:rPr>
          <w:sz w:val="20"/>
          <w:szCs w:val="20"/>
          <w:rtl w:val="0"/>
        </w:rPr>
        <w:t xml:space="preserve">Certifico que a empresa</w:t>
      </w:r>
      <w:r w:rsidDel="00000000" w:rsidR="00000000" w:rsidRPr="00000000">
        <w:rPr>
          <w:sz w:val="20"/>
          <w:szCs w:val="20"/>
          <w:u w:val="single"/>
          <w:rtl w:val="0"/>
        </w:rPr>
        <w:tab/>
      </w:r>
      <w:r w:rsidDel="00000000" w:rsidR="00000000" w:rsidRPr="00000000">
        <w:rPr>
          <w:sz w:val="20"/>
          <w:szCs w:val="20"/>
          <w:rtl w:val="0"/>
        </w:rPr>
        <w:t xml:space="preserve">, devidamente representada pelo seu representante legal abaixo assinado, declara que reviu o </w:t>
      </w:r>
      <w:r w:rsidDel="00000000" w:rsidR="00000000" w:rsidRPr="00000000">
        <w:rPr>
          <w:b w:val="1"/>
          <w:sz w:val="20"/>
          <w:szCs w:val="20"/>
          <w:rtl w:val="0"/>
        </w:rPr>
        <w:t xml:space="preserve">RFQ UNFPA/BRA/RFQ/2022/016</w:t>
      </w:r>
      <w:r w:rsidDel="00000000" w:rsidR="00000000" w:rsidRPr="00000000">
        <w:rPr>
          <w:sz w:val="20"/>
          <w:szCs w:val="20"/>
          <w:rtl w:val="0"/>
        </w:rPr>
        <w:t xml:space="preserve">, incluindo todos os anexos, alterações ao documento do RFQ (se aplicável) e as respostas fornecidas pelo UNFPA em esclarecimentos dos provedores de serviços prospectivos. Além disso, a empresa aceita as Condições Gerais do Contrato para o UNFPA e nós concordaremos em manter a presente cotação de acordo com a validade da mesma</w:t>
      </w:r>
      <w:r w:rsidDel="00000000" w:rsidR="00000000" w:rsidRPr="00000000">
        <w:rPr>
          <w:rFonts w:ascii="Arial MT" w:cs="Arial MT" w:eastAsia="Arial MT" w:hAnsi="Arial MT"/>
          <w:color w:val="202020"/>
          <w:sz w:val="20"/>
          <w:szCs w:val="20"/>
          <w:rtl w:val="0"/>
        </w:rPr>
        <w:t xml:space="preserve">.</w:t>
      </w:r>
      <w:r w:rsidDel="00000000" w:rsidR="00000000" w:rsidRPr="00000000">
        <w:rPr>
          <w:rtl w:val="0"/>
        </w:rPr>
      </w:r>
    </w:p>
    <w:tbl>
      <w:tblPr>
        <w:tblStyle w:val="Table4"/>
        <w:tblW w:w="9856.0" w:type="dxa"/>
        <w:jc w:val="left"/>
        <w:tblInd w:w="36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000"/>
      </w:tblPr>
      <w:tblGrid>
        <w:gridCol w:w="4928"/>
        <w:gridCol w:w="2465"/>
        <w:gridCol w:w="2463"/>
        <w:tblGridChange w:id="0">
          <w:tblGrid>
            <w:gridCol w:w="4928"/>
            <w:gridCol w:w="2465"/>
            <w:gridCol w:w="2463"/>
          </w:tblGrid>
        </w:tblGridChange>
      </w:tblGrid>
      <w:tr>
        <w:trPr>
          <w:cantSplit w:val="0"/>
          <w:trHeight w:val="805" w:hRule="atLeast"/>
          <w:tblHeader w:val="0"/>
        </w:trPr>
        <w:tc>
          <w:tcPr/>
          <w:p w:rsidR="00000000" w:rsidDel="00000000" w:rsidP="00000000" w:rsidRDefault="00000000" w:rsidRPr="00000000" w14:paraId="0000004F">
            <w:pPr>
              <w:pageBreakBefore w:val="0"/>
              <w:ind w:left="450" w:right="-3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0">
            <w:pPr>
              <w:pageBreakBefore w:val="0"/>
              <w:spacing w:before="131" w:lineRule="auto"/>
              <w:ind w:left="450" w:right="-30" w:firstLine="0"/>
              <w:rPr>
                <w:sz w:val="20"/>
                <w:szCs w:val="20"/>
              </w:rPr>
            </w:pPr>
            <w:r w:rsidDel="00000000" w:rsidR="00000000" w:rsidRPr="00000000">
              <w:rPr>
                <w:color w:val="808080"/>
                <w:sz w:val="20"/>
                <w:szCs w:val="20"/>
                <w:rtl w:val="0"/>
              </w:rPr>
              <w:t xml:space="preserve">Click here to enter a date.</w:t>
            </w:r>
            <w:r w:rsidDel="00000000" w:rsidR="00000000" w:rsidRPr="00000000">
              <w:rPr>
                <w:rtl w:val="0"/>
              </w:rPr>
            </w:r>
          </w:p>
        </w:tc>
        <w:tc>
          <w:tcPr/>
          <w:p w:rsidR="00000000" w:rsidDel="00000000" w:rsidP="00000000" w:rsidRDefault="00000000" w:rsidRPr="00000000" w14:paraId="00000051">
            <w:pPr>
              <w:pageBreakBefore w:val="0"/>
              <w:ind w:left="450" w:right="-30" w:firstLine="0"/>
              <w:rPr>
                <w:rFonts w:ascii="Times New Roman" w:cs="Times New Roman" w:eastAsia="Times New Roman" w:hAnsi="Times New Roman"/>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2">
            <w:pPr>
              <w:pageBreakBefore w:val="0"/>
              <w:spacing w:line="248.00000000000006" w:lineRule="auto"/>
              <w:ind w:left="450" w:right="-30" w:firstLine="0"/>
              <w:jc w:val="center"/>
              <w:rPr>
                <w:sz w:val="20"/>
                <w:szCs w:val="20"/>
              </w:rPr>
            </w:pPr>
            <w:r w:rsidDel="00000000" w:rsidR="00000000" w:rsidRPr="00000000">
              <w:rPr>
                <w:sz w:val="20"/>
                <w:szCs w:val="20"/>
                <w:rtl w:val="0"/>
              </w:rPr>
              <w:t xml:space="preserve">Nome e Título</w:t>
            </w:r>
          </w:p>
        </w:tc>
        <w:tc>
          <w:tcPr>
            <w:gridSpan w:val="2"/>
          </w:tcPr>
          <w:p w:rsidR="00000000" w:rsidDel="00000000" w:rsidP="00000000" w:rsidRDefault="00000000" w:rsidRPr="00000000" w14:paraId="00000053">
            <w:pPr>
              <w:pageBreakBefore w:val="0"/>
              <w:spacing w:line="248.00000000000006" w:lineRule="auto"/>
              <w:ind w:left="450" w:right="-30" w:firstLine="0"/>
              <w:jc w:val="center"/>
              <w:rPr>
                <w:sz w:val="20"/>
                <w:szCs w:val="20"/>
              </w:rPr>
            </w:pPr>
            <w:r w:rsidDel="00000000" w:rsidR="00000000" w:rsidRPr="00000000">
              <w:rPr>
                <w:sz w:val="20"/>
                <w:szCs w:val="20"/>
                <w:rtl w:val="0"/>
              </w:rPr>
              <w:t xml:space="preserve">Data e Local</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50" w:right="-3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40" w:w="11910" w:orient="portrait"/>
      <w:pgMar w:bottom="820" w:top="1660" w:left="640" w:right="940" w:header="708" w:footer="6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sz w:val="12"/>
        <w:szCs w:val="1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[INSERIR LOGO E DADOS DA PESSOA JURÍDICA]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4" w:lineRule="auto"/>
      <w:ind w:left="569" w:right="548"/>
      <w:jc w:val="center"/>
    </w:pPr>
    <w:rPr>
      <w:rFonts w:ascii="Calibri" w:cs="Calibri" w:eastAsia="Calibri" w:hAnsi="Calibri"/>
      <w:b w:val="1"/>
      <w:sz w:val="28"/>
      <w:szCs w:val="28"/>
    </w:rPr>
  </w:style>
  <w:style w:type="paragraph" w:styleId="Heading2">
    <w:name w:val="heading 2"/>
    <w:basedOn w:val="Normal"/>
    <w:next w:val="Normal"/>
    <w:pPr>
      <w:pageBreakBefore w:val="0"/>
      <w:ind w:left="686" w:hanging="334"/>
    </w:pPr>
    <w:rPr>
      <w:rFonts w:ascii="Calibri" w:cs="Calibri" w:eastAsia="Calibri" w:hAnsi="Calibri"/>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