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UNFPA/BRA/RFQ/2022/005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spacing w:line="259" w:lineRule="auto"/>
        <w:ind w:right="-3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3585"/>
        <w:gridCol w:w="1815"/>
        <w:gridCol w:w="1650"/>
        <w:gridCol w:w="1710"/>
        <w:tblGridChange w:id="0">
          <w:tblGrid>
            <w:gridCol w:w="1290"/>
            <w:gridCol w:w="3585"/>
            <w:gridCol w:w="1815"/>
            <w:gridCol w:w="1650"/>
            <w:gridCol w:w="17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Pagamento (p/ estimativa do cálculo)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Cronograma*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Proposta de identidade visual do projeto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20% do escopo do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Até 03/06/22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 cards para divulgação em mídias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10% do escopo do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Até 10/06/22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 Reels (ferramenta de vídeo própria do Instagram para divulgação) e 1 card para mídias sociais em Alusão ao Dia Internacional da Juventude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20% do escopo do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Até 29/07/22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Vídeo em Alusão ao Dia Internacional de Luta da pessoa com deficiência (3-5min)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Captação de depoimentos, entrevistas e momentos do curso de formação (que ocorrerão de forma virtual), roteirização, montagem, edição final, legendagem, libras, audiodescrição.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30% do escopo do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Até 05/09/22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Matéria jornalística para divulgação em site do início do projeto (2-3 laudas)</w:t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Matéria jornalística para divulgação em site do UNFPA com foco no processo e resultados do projeto incluindo captação de depoimento de jovem participante e representante do UNFPA (2-3 laudas)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20% do escopo do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Até 29/07/22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Até 23/09/22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1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lef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yellow"/>
          <w:rtl w:val="0"/>
        </w:rPr>
        <w:t xml:space="preserve">03 de junho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UNFPA/BRA/RFQ/2022/005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4C">
      <w:pPr>
        <w:pStyle w:val="Heading1"/>
        <w:ind w:left="450" w:right="-30" w:firstLine="0"/>
        <w:rPr/>
      </w:pPr>
      <w:bookmarkStart w:colFirst="0" w:colLast="0" w:name="_me1yoxq38l4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DA EMPRESA LICITANTE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