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UNFPA/BRA/RFQ/2022/013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tabs>
          <w:tab w:val="left" w:pos="-720"/>
        </w:tabs>
        <w:spacing w:after="120" w:before="12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2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4950"/>
        <w:gridCol w:w="1935"/>
        <w:gridCol w:w="1935"/>
        <w:tblGridChange w:id="0">
          <w:tblGrid>
            <w:gridCol w:w="1320"/>
            <w:gridCol w:w="4950"/>
            <w:gridCol w:w="193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No.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Especificação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Prazo de entrega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Plano de trabalho, produção de curso formativo</w:t>
            </w:r>
            <w:r w:rsidDel="00000000" w:rsidR="00000000" w:rsidRPr="00000000">
              <w:rPr>
                <w:rtl w:val="0"/>
              </w:rPr>
              <w:t xml:space="preserve"> para os módulos de formação </w:t>
            </w:r>
            <w:r w:rsidDel="00000000" w:rsidR="00000000" w:rsidRPr="00000000">
              <w:rPr>
                <w:b w:val="1"/>
                <w:rtl w:val="0"/>
              </w:rPr>
              <w:t xml:space="preserve">à distância síncrono (online) </w:t>
            </w:r>
            <w:r w:rsidDel="00000000" w:rsidR="00000000" w:rsidRPr="00000000">
              <w:rPr>
                <w:rtl w:val="0"/>
              </w:rPr>
              <w:t xml:space="preserve">1, 2, 3, 4 e 5 contendo necessariamente: planejamento detalhado com cronograma, equipe envolvida, programa do curso organizado por módulo, contrato pedagógico, proposta e instrumento de avaliação de cada módulo, material bibliográfico por módulo.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Até 20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Implementar os módulos de formação à distância síncrono (online)</w:t>
            </w:r>
            <w:r w:rsidDel="00000000" w:rsidR="00000000" w:rsidRPr="00000000">
              <w:rPr>
                <w:rtl w:val="0"/>
              </w:rPr>
              <w:t xml:space="preserve"> 1, 2, 3, 4 e 5 para desenvolvimento de competências técnicas e que devem contemplar minimamente os seguintes aspectos: (a) Apresentação do curso e introdução de temas e conceitos fundamentais; (b) Necessidades insatisfeitas de planejamento reprodutivo; (c) Estratégias para aprimoramento do acesso e qualidade da atenção em saúde reprodutiva; (d) Informação e acolhimento baseado em direitos sobre tecnologias contraceptivas; (e) Abordagens multiculturais na atenção em Saúde Sexual e Reprodutiva.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Até 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Plano de trabalho, produção do curso formativo</w:t>
            </w:r>
            <w:r w:rsidDel="00000000" w:rsidR="00000000" w:rsidRPr="00000000">
              <w:rPr>
                <w:rtl w:val="0"/>
              </w:rPr>
              <w:t xml:space="preserve"> para os módulos </w:t>
            </w:r>
            <w:r w:rsidDel="00000000" w:rsidR="00000000" w:rsidRPr="00000000">
              <w:rPr>
                <w:b w:val="1"/>
                <w:rtl w:val="0"/>
              </w:rPr>
              <w:t xml:space="preserve">presenciais </w:t>
            </w:r>
            <w:r w:rsidDel="00000000" w:rsidR="00000000" w:rsidRPr="00000000">
              <w:rPr>
                <w:rtl w:val="0"/>
              </w:rPr>
              <w:t xml:space="preserve">6, 7, 8, 9 e 10 contendo necessariamente: planejamento detalhado com cronograma, equipe envolvida, programa do curso organizado por módulo, contrato pedagógico, proposta e instrumento de avaliação de cada módulo, proposta e instrumento da avaliação final do curso, material bibliográfico por módulo.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Até 60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Implementação dos módulos de formação</w:t>
            </w:r>
            <w:r w:rsidDel="00000000" w:rsidR="00000000" w:rsidRPr="00000000">
              <w:rPr>
                <w:rtl w:val="0"/>
              </w:rPr>
              <w:t xml:space="preserve"> presenciais 6, 7, 8, 9 e 10 para desenvolvimento de competências técnicas e que devem contemplar minimamente os seguintes aspectos: (a) Atualização de informações em Saúde Reprodutiva e tecnologias contraceptivas; (b) Contraceptivos Reversíveis de Longa Duração com Foco em DIU; (c) Planejamento reprodutivo e contracepção como direitos de adolescentes e jovens; (d) Metodologias educativas para a capacitação incluindo metodologias participativas e de multiplicação do conhecimento; (e) Da teoria à prática: revisão dos conhecimentos, técnicas e instrumentos ora desenvolvidos.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Até 80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Documento Técnico</w:t>
            </w:r>
            <w:r w:rsidDel="00000000" w:rsidR="00000000" w:rsidRPr="00000000">
              <w:rPr>
                <w:rtl w:val="0"/>
              </w:rPr>
              <w:t xml:space="preserve"> contendo relatório detalhado das atividades realizadas no âmbito da iniciativa. Contendo avaliação final dos participantes e do curso de formação, elaboração e distribuição dos certificados para participantes que tiveram, no mínimo 80% de presença e aprovação de no mínimo 80% nos questionários finais de cada módulo.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Até 95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line="256.8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Documento Técnico</w:t>
            </w:r>
            <w:r w:rsidDel="00000000" w:rsidR="00000000" w:rsidRPr="00000000">
              <w:rPr>
                <w:rtl w:val="0"/>
              </w:rPr>
              <w:t xml:space="preserve"> contendo: (a)  Proposta de acompanhamento do processo de multiplicação a ser liderado pelos quatro centros de referência; (b) Metodologia e instrumento de monitoramento e avaliação da estratégia nos quatro centros de referência, incorporando um momento formativo para capacitar os profissionais no uso do instrumento, com o objetivo de mensurar as mudanças relacionadas aos LARCS impulsionadas pela iniciativa (c) Assistência técnica na revisão dos protocolos de inserção e planejamento reprodutivo;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Até 120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200" w:line="276" w:lineRule="auto"/>
              <w:ind w:right="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Elaborar </w:t>
            </w:r>
            <w:r w:rsidDel="00000000" w:rsidR="00000000" w:rsidRPr="00000000">
              <w:rPr>
                <w:b w:val="1"/>
                <w:rtl w:val="0"/>
              </w:rPr>
              <w:t xml:space="preserve">informações de qualidade para posterior publicação</w:t>
            </w:r>
            <w:r w:rsidDel="00000000" w:rsidR="00000000" w:rsidRPr="00000000">
              <w:rPr>
                <w:rtl w:val="0"/>
              </w:rPr>
              <w:t xml:space="preserve"> (material diagramado para cards e matérias), com vistas a desfazer mitos e inverdades a respeito dos LARCs aumentando e qualificando a demanda por esses métodos, por meio da disseminação de informações atualizadas com base em evidências científicas, nos serviços de saúde, no aconselhamento e através da mídia (imprensa escrita, rádio, TV e redes sociais);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Até 130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200"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Assessoria de imprensa</w:t>
            </w:r>
            <w:r w:rsidDel="00000000" w:rsidR="00000000" w:rsidRPr="00000000">
              <w:rPr>
                <w:rtl w:val="0"/>
              </w:rPr>
              <w:t xml:space="preserve"> para divulgação das informações elaboradas no produto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Até 140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ind w:right="4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Coordenar e implementar a tradução do aplicativo</w:t>
            </w:r>
            <w:r w:rsidDel="00000000" w:rsidR="00000000" w:rsidRPr="00000000">
              <w:rPr>
                <w:rtl w:val="0"/>
              </w:rPr>
              <w:t xml:space="preserve"> “Dia” de loja digital(IOS e Android), já em funcionamento.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Até 150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6.1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Capacitar os quatro centros de referência</w:t>
            </w:r>
            <w:r w:rsidDel="00000000" w:rsidR="00000000" w:rsidRPr="00000000">
              <w:rPr>
                <w:rtl w:val="0"/>
              </w:rPr>
              <w:t xml:space="preserve"> selecionados sobre o uso de aplicativo digital para apoiar os serviços a monitorar a prevalência de uso de LARCs (DIU e implantes). Apoiando com o fortalecimento das capacidades de monitoramento e avaliação de escala para quatro Centros de Referência distribuídos em duas Unidades da Federação brasileiras.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Até 180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Apoiar ao UNFPA em participação de reuniões</w:t>
            </w:r>
            <w:r w:rsidDel="00000000" w:rsidR="00000000" w:rsidRPr="00000000">
              <w:rPr>
                <w:rtl w:val="0"/>
              </w:rPr>
              <w:t xml:space="preserve"> a despeito das atividades de planejamento, revisão, implementação e apoio logístico (agendamento de salas, horários, comunicação com os centros de referências e participantes dos curso) do curso formativo, da tradução do aplicativo e das informações a serem produzidas e  disseminadas pela assessoria de imprensa.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Até 200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Elaborar, sistematizar e diagramar</w:t>
            </w:r>
            <w:r w:rsidDel="00000000" w:rsidR="00000000" w:rsidRPr="00000000">
              <w:rPr>
                <w:rtl w:val="0"/>
              </w:rPr>
              <w:t xml:space="preserve"> a documentação de </w:t>
            </w:r>
            <w:r w:rsidDel="00000000" w:rsidR="00000000" w:rsidRPr="00000000">
              <w:rPr>
                <w:b w:val="1"/>
                <w:rtl w:val="0"/>
              </w:rPr>
              <w:t xml:space="preserve">boas práticas e lições aprendidas</w:t>
            </w:r>
            <w:r w:rsidDel="00000000" w:rsidR="00000000" w:rsidRPr="00000000">
              <w:rPr>
                <w:rtl w:val="0"/>
              </w:rPr>
              <w:t xml:space="preserve"> para intercâmbio com outros países da região;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Até 220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6">
      <w:pPr>
        <w:widowControl w:val="1"/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23 de agosto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UNFPA/BRA/RFQ/2022/013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5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LOGO E DADOS DA EMPRESA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